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57" w:rsidRPr="00C87AF8" w:rsidRDefault="00D05E57" w:rsidP="00D05E57">
      <w:pPr>
        <w:spacing w:line="360" w:lineRule="auto"/>
        <w:contextualSpacing/>
        <w:jc w:val="both"/>
        <w:rPr>
          <w:rFonts w:ascii="Times New Roman" w:hAnsi="Times New Roman" w:cs="Times New Roman"/>
          <w:b/>
          <w:lang w:val="en-US"/>
        </w:rPr>
      </w:pPr>
      <w:r w:rsidRPr="00C87AF8">
        <w:rPr>
          <w:rFonts w:ascii="Times New Roman" w:hAnsi="Times New Roman" w:cs="Times New Roman"/>
          <w:b/>
          <w:lang w:val="en-US"/>
        </w:rPr>
        <w:t>Appendix</w:t>
      </w:r>
    </w:p>
    <w:p w:rsidR="00D05E57" w:rsidRPr="001673AE" w:rsidRDefault="00D05E57" w:rsidP="00D05E57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73AE">
        <w:rPr>
          <w:rFonts w:ascii="Times New Roman" w:hAnsi="Times New Roman" w:cs="Times New Roman"/>
          <w:sz w:val="20"/>
          <w:szCs w:val="20"/>
          <w:lang w:val="en-US"/>
        </w:rPr>
        <w:t xml:space="preserve">After completing some 25 clinical PCI cases (Ms. M. Schlumpf, personal communication) Andreas has compiled sufficient procedural knowledge-base for him to organize the first course in percutaneous coronary transluminal angioplasty (PTCA)/ percutaneous transluminal angioplasty (PTA) in 1978 in Zürich. </w:t>
      </w:r>
    </w:p>
    <w:p w:rsidR="00D05E57" w:rsidRPr="001673AE" w:rsidRDefault="00D05E57" w:rsidP="00D05E57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05E57" w:rsidRPr="001673AE" w:rsidRDefault="00D05E57" w:rsidP="00D05E57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73AE">
        <w:rPr>
          <w:rFonts w:ascii="Times New Roman" w:hAnsi="Times New Roman" w:cs="Times New Roman"/>
          <w:sz w:val="20"/>
          <w:szCs w:val="20"/>
          <w:lang w:val="en-US"/>
        </w:rPr>
        <w:t>In order to teach the techniques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673AE">
        <w:rPr>
          <w:rFonts w:ascii="Times New Roman" w:hAnsi="Times New Roman" w:cs="Times New Roman"/>
          <w:sz w:val="20"/>
          <w:szCs w:val="20"/>
          <w:lang w:val="en-US"/>
        </w:rPr>
        <w:t>Andreas has needed to explicate at least some of his newly acquired procedural knowledge and skills to communicate those principles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673AE">
        <w:rPr>
          <w:rFonts w:ascii="Times New Roman" w:hAnsi="Times New Roman" w:cs="Times New Roman"/>
          <w:sz w:val="20"/>
          <w:szCs w:val="20"/>
          <w:lang w:val="en-US"/>
        </w:rPr>
        <w:t>to the summoned colleagues.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673AE">
        <w:rPr>
          <w:rFonts w:ascii="Times New Roman" w:hAnsi="Times New Roman" w:cs="Times New Roman"/>
          <w:sz w:val="20"/>
          <w:szCs w:val="20"/>
          <w:lang w:val="en-US"/>
        </w:rPr>
        <w:t>However, as far as we know, no written notes concerning either the descriptive or the procedural knowledge are extant.  Table reviews the dates and attendance of Dr. Grüntzig’s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673AE">
        <w:rPr>
          <w:rFonts w:ascii="Times New Roman" w:hAnsi="Times New Roman" w:cs="Times New Roman"/>
          <w:sz w:val="20"/>
          <w:szCs w:val="20"/>
          <w:lang w:val="en-US"/>
        </w:rPr>
        <w:t xml:space="preserve">Zürich courses. </w:t>
      </w:r>
    </w:p>
    <w:p w:rsidR="00D05E57" w:rsidRPr="001673AE" w:rsidRDefault="00D05E57" w:rsidP="00D05E57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422"/>
        <w:gridCol w:w="2549"/>
        <w:gridCol w:w="2423"/>
        <w:gridCol w:w="2182"/>
      </w:tblGrid>
      <w:tr w:rsidR="00D05E57" w:rsidRPr="001673AE" w:rsidTr="00F84CE4">
        <w:tc>
          <w:tcPr>
            <w:tcW w:w="2435" w:type="dxa"/>
          </w:tcPr>
          <w:p w:rsidR="00D05E57" w:rsidRPr="001673AE" w:rsidRDefault="00D05E57" w:rsidP="00F84CE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</w:pPr>
            <w:r w:rsidRPr="00167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  <w:t>Course number</w:t>
            </w:r>
          </w:p>
        </w:tc>
        <w:tc>
          <w:tcPr>
            <w:tcW w:w="2560" w:type="dxa"/>
          </w:tcPr>
          <w:p w:rsidR="00D05E57" w:rsidRPr="001673AE" w:rsidRDefault="00D05E57" w:rsidP="00F84CE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</w:pPr>
            <w:r w:rsidRPr="00167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  <w:t>Number participants</w:t>
            </w:r>
          </w:p>
        </w:tc>
        <w:tc>
          <w:tcPr>
            <w:tcW w:w="2436" w:type="dxa"/>
          </w:tcPr>
          <w:p w:rsidR="00D05E57" w:rsidRPr="001673AE" w:rsidRDefault="00D05E57" w:rsidP="00F84CE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</w:pPr>
            <w:r w:rsidRPr="00167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  <w:t>Dates</w:t>
            </w:r>
          </w:p>
        </w:tc>
        <w:tc>
          <w:tcPr>
            <w:tcW w:w="2191" w:type="dxa"/>
          </w:tcPr>
          <w:p w:rsidR="00D05E57" w:rsidRPr="001673AE" w:rsidRDefault="00D05E57" w:rsidP="00F84CE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</w:pPr>
            <w:r w:rsidRPr="00167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de-DE"/>
              </w:rPr>
              <w:t xml:space="preserve">Number of life- cases and involved vascular territory </w:t>
            </w:r>
          </w:p>
        </w:tc>
      </w:tr>
      <w:tr w:rsidR="00D05E57" w:rsidRPr="001673AE" w:rsidTr="00F84CE4">
        <w:tc>
          <w:tcPr>
            <w:tcW w:w="2435" w:type="dxa"/>
          </w:tcPr>
          <w:p w:rsidR="00D05E57" w:rsidRPr="001673AE" w:rsidRDefault="00D05E57" w:rsidP="00F84CE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673A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2560" w:type="dxa"/>
          </w:tcPr>
          <w:p w:rsidR="00D05E57" w:rsidRPr="001673AE" w:rsidRDefault="00D05E57" w:rsidP="00F84CE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673A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28*</w:t>
            </w:r>
          </w:p>
        </w:tc>
        <w:tc>
          <w:tcPr>
            <w:tcW w:w="2436" w:type="dxa"/>
          </w:tcPr>
          <w:p w:rsidR="00D05E57" w:rsidRPr="001673AE" w:rsidRDefault="00D05E57" w:rsidP="00F84CE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673A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August 7-10,1978</w:t>
            </w:r>
          </w:p>
        </w:tc>
        <w:tc>
          <w:tcPr>
            <w:tcW w:w="2191" w:type="dxa"/>
          </w:tcPr>
          <w:p w:rsidR="00D05E57" w:rsidRPr="001673AE" w:rsidRDefault="00D05E57" w:rsidP="00F84CE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673A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PTCA (coronary)     7 PTA (femoral)          2 PTA (renal)                1</w:t>
            </w:r>
          </w:p>
        </w:tc>
      </w:tr>
      <w:tr w:rsidR="00D05E57" w:rsidRPr="001673AE" w:rsidTr="00F84CE4">
        <w:tc>
          <w:tcPr>
            <w:tcW w:w="2435" w:type="dxa"/>
          </w:tcPr>
          <w:p w:rsidR="00D05E57" w:rsidRPr="001673AE" w:rsidRDefault="00D05E57" w:rsidP="00F84CE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673A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2560" w:type="dxa"/>
          </w:tcPr>
          <w:p w:rsidR="00D05E57" w:rsidRPr="001673AE" w:rsidRDefault="00D05E57" w:rsidP="00F84CE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673A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97</w:t>
            </w:r>
          </w:p>
        </w:tc>
        <w:tc>
          <w:tcPr>
            <w:tcW w:w="2436" w:type="dxa"/>
          </w:tcPr>
          <w:p w:rsidR="00D05E57" w:rsidRPr="001673AE" w:rsidRDefault="00D05E57" w:rsidP="00F84CE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673A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April 9-12,1979</w:t>
            </w:r>
          </w:p>
        </w:tc>
        <w:tc>
          <w:tcPr>
            <w:tcW w:w="2191" w:type="dxa"/>
          </w:tcPr>
          <w:p w:rsidR="00D05E57" w:rsidRPr="001673AE" w:rsidRDefault="00D05E57" w:rsidP="00F84CE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673A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PTCA (coronary)     5 PTA (renal)                1</w:t>
            </w:r>
          </w:p>
        </w:tc>
      </w:tr>
      <w:tr w:rsidR="00D05E57" w:rsidRPr="001673AE" w:rsidTr="00F84CE4">
        <w:tc>
          <w:tcPr>
            <w:tcW w:w="2435" w:type="dxa"/>
          </w:tcPr>
          <w:p w:rsidR="00D05E57" w:rsidRPr="001673AE" w:rsidRDefault="00D05E57" w:rsidP="00F84CE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673A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2560" w:type="dxa"/>
          </w:tcPr>
          <w:p w:rsidR="00D05E57" w:rsidRPr="001673AE" w:rsidRDefault="00D05E57" w:rsidP="00F84CE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673A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171</w:t>
            </w:r>
          </w:p>
        </w:tc>
        <w:tc>
          <w:tcPr>
            <w:tcW w:w="2436" w:type="dxa"/>
          </w:tcPr>
          <w:p w:rsidR="00D05E57" w:rsidRPr="001673AE" w:rsidRDefault="00D05E57" w:rsidP="00F84CE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673A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January 2-5,1980</w:t>
            </w:r>
          </w:p>
        </w:tc>
        <w:tc>
          <w:tcPr>
            <w:tcW w:w="2191" w:type="dxa"/>
          </w:tcPr>
          <w:p w:rsidR="00D05E57" w:rsidRPr="001673AE" w:rsidRDefault="00D05E57" w:rsidP="00F84CE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673A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PTCA (coronary)      5</w:t>
            </w:r>
          </w:p>
        </w:tc>
      </w:tr>
      <w:tr w:rsidR="00D05E57" w:rsidRPr="001673AE" w:rsidTr="00F84CE4">
        <w:tc>
          <w:tcPr>
            <w:tcW w:w="2435" w:type="dxa"/>
          </w:tcPr>
          <w:p w:rsidR="00D05E57" w:rsidRPr="001673AE" w:rsidRDefault="00D05E57" w:rsidP="00F84CE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673A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2560" w:type="dxa"/>
          </w:tcPr>
          <w:p w:rsidR="00D05E57" w:rsidRPr="001673AE" w:rsidRDefault="00D05E57" w:rsidP="00F84CE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673A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221</w:t>
            </w:r>
          </w:p>
        </w:tc>
        <w:tc>
          <w:tcPr>
            <w:tcW w:w="2436" w:type="dxa"/>
          </w:tcPr>
          <w:p w:rsidR="00D05E57" w:rsidRPr="001673AE" w:rsidRDefault="00D05E57" w:rsidP="00F84CE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673A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August 3-7,1980</w:t>
            </w:r>
          </w:p>
        </w:tc>
        <w:tc>
          <w:tcPr>
            <w:tcW w:w="2191" w:type="dxa"/>
          </w:tcPr>
          <w:p w:rsidR="00D05E57" w:rsidRPr="001673AE" w:rsidRDefault="00D05E57" w:rsidP="00F84CE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1673AE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PTCA (coronary)      7</w:t>
            </w:r>
          </w:p>
        </w:tc>
      </w:tr>
    </w:tbl>
    <w:p w:rsidR="00D05E57" w:rsidRPr="001673AE" w:rsidRDefault="00D05E57" w:rsidP="00D05E57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05E57" w:rsidRDefault="00D05E57" w:rsidP="00D05E57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94B0B">
        <w:rPr>
          <w:rFonts w:ascii="Times New Roman" w:hAnsi="Times New Roman" w:cs="Times New Roman"/>
          <w:b/>
          <w:sz w:val="20"/>
          <w:szCs w:val="20"/>
          <w:lang w:val="en-US"/>
        </w:rPr>
        <w:t>Table: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673AE">
        <w:rPr>
          <w:rFonts w:ascii="Times New Roman" w:hAnsi="Times New Roman" w:cs="Times New Roman"/>
          <w:sz w:val="20"/>
          <w:szCs w:val="20"/>
          <w:lang w:val="en-US"/>
        </w:rPr>
        <w:t xml:space="preserve">Andreas Grüntzig teaching courses in Zürich during 1978-1980. </w:t>
      </w:r>
    </w:p>
    <w:p w:rsidR="00D05E57" w:rsidRPr="001673AE" w:rsidRDefault="00D05E57" w:rsidP="00D05E57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*</w:t>
      </w:r>
      <w:r w:rsidRPr="001673AE">
        <w:rPr>
          <w:rFonts w:ascii="Times New Roman" w:hAnsi="Times New Roman" w:cs="Times New Roman"/>
          <w:sz w:val="20"/>
          <w:szCs w:val="20"/>
          <w:lang w:val="en-US"/>
        </w:rPr>
        <w:t xml:space="preserve">The final number of attendees was actually higher (n=35) (personal communication Ms. M. Schlumpf). </w:t>
      </w:r>
    </w:p>
    <w:p w:rsidR="00D05E57" w:rsidRPr="00624FEA" w:rsidRDefault="00D05E57" w:rsidP="00D05E57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73AE">
        <w:rPr>
          <w:rFonts w:ascii="Times New Roman" w:hAnsi="Times New Roman" w:cs="Times New Roman"/>
          <w:sz w:val="20"/>
          <w:szCs w:val="20"/>
          <w:lang w:val="en-US"/>
        </w:rPr>
        <w:br/>
      </w:r>
      <w:r w:rsidRPr="00624FEA">
        <w:rPr>
          <w:rFonts w:ascii="Times New Roman" w:hAnsi="Times New Roman" w:cs="Times New Roman"/>
          <w:sz w:val="20"/>
          <w:szCs w:val="20"/>
          <w:lang w:val="en-US"/>
        </w:rPr>
        <w:t>It is important to recognize that Andreas has not only pioneered the technique of PTCA but also introduced a new teaching tool: life- case demonstration. Performing interventions li</w:t>
      </w:r>
      <w:r w:rsidR="00624FEA" w:rsidRPr="00624FEA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624FEA">
        <w:rPr>
          <w:rFonts w:ascii="Times New Roman" w:hAnsi="Times New Roman" w:cs="Times New Roman"/>
          <w:sz w:val="20"/>
          <w:szCs w:val="20"/>
          <w:lang w:val="en-US"/>
        </w:rPr>
        <w:t xml:space="preserve">e that is without the protecting “safe net” </w:t>
      </w:r>
      <w:r w:rsidR="00624FEA" w:rsidRPr="00624FEA">
        <w:rPr>
          <w:rFonts w:ascii="Times New Roman" w:hAnsi="Times New Roman" w:cs="Times New Roman"/>
          <w:color w:val="000000"/>
          <w:sz w:val="20"/>
          <w:szCs w:val="20"/>
          <w:lang w:val="en-IN"/>
        </w:rPr>
        <w:t>of post hoc analysis, has allowed the audience for the first time to witness the unfiltered dynamics of the recursive decision making process applicable to catheter-based cardiovascular interventions.</w:t>
      </w:r>
      <w:r w:rsidRPr="00624FEA">
        <w:rPr>
          <w:rFonts w:ascii="Times New Roman" w:hAnsi="Times New Roman" w:cs="Times New Roman"/>
          <w:sz w:val="20"/>
          <w:szCs w:val="20"/>
          <w:lang w:val="en-US"/>
        </w:rPr>
        <w:t xml:space="preserve"> Direct and unfiltered access to interventional therapies in </w:t>
      </w:r>
      <w:r w:rsidR="006A103C" w:rsidRPr="006A103C">
        <w:rPr>
          <w:rFonts w:ascii="Times New Roman" w:hAnsi="Times New Roman" w:cs="Times New Roman"/>
          <w:color w:val="000000"/>
          <w:sz w:val="20"/>
          <w:szCs w:val="20"/>
          <w:lang w:val="en-IN"/>
        </w:rPr>
        <w:t>life-case</w:t>
      </w:r>
      <w:r w:rsidR="006A103C">
        <w:rPr>
          <w:rFonts w:ascii="Tahoma" w:hAnsi="Tahoma" w:cs="Tahoma"/>
          <w:color w:val="000000"/>
          <w:sz w:val="20"/>
          <w:szCs w:val="20"/>
          <w:lang w:val="en-IN"/>
        </w:rPr>
        <w:t xml:space="preserve"> </w:t>
      </w:r>
      <w:r w:rsidRPr="00624FEA">
        <w:rPr>
          <w:rFonts w:ascii="Times New Roman" w:hAnsi="Times New Roman" w:cs="Times New Roman"/>
          <w:sz w:val="20"/>
          <w:szCs w:val="20"/>
          <w:lang w:val="en-US"/>
        </w:rPr>
        <w:t xml:space="preserve">demonstrations has soon become an important and indispensable teaching tool worldwide </w:t>
      </w:r>
      <w:r w:rsidR="00506448" w:rsidRPr="00506448">
        <w:rPr>
          <w:rFonts w:ascii="Times New Roman" w:hAnsi="Times New Roman" w:cs="Times New Roman"/>
          <w:color w:val="000000"/>
          <w:sz w:val="20"/>
          <w:szCs w:val="20"/>
          <w:lang w:val="en-IN"/>
        </w:rPr>
        <w:t>allowing free and open transfer</w:t>
      </w:r>
      <w:r w:rsidRPr="00624FEA">
        <w:rPr>
          <w:rFonts w:ascii="Times New Roman" w:hAnsi="Times New Roman" w:cs="Times New Roman"/>
          <w:sz w:val="20"/>
          <w:szCs w:val="20"/>
          <w:lang w:val="en-US"/>
        </w:rPr>
        <w:t xml:space="preserve"> of procedural interventional</w:t>
      </w:r>
      <w:r w:rsidR="00A0781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0781D" w:rsidRPr="00A0781D">
        <w:rPr>
          <w:rFonts w:ascii="Times New Roman" w:eastAsia="MinionPro-Regular" w:hAnsi="Times New Roman" w:cs="Times New Roman"/>
          <w:sz w:val="20"/>
          <w:szCs w:val="20"/>
          <w:lang w:val="en-IN"/>
        </w:rPr>
        <w:t>knowledge</w:t>
      </w:r>
      <w:r w:rsidRPr="00624FEA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0E2C03" w:rsidRDefault="000E2C03"/>
    <w:sectPr w:rsidR="000E2C03" w:rsidSect="000E2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D05E57"/>
    <w:rsid w:val="000E2C03"/>
    <w:rsid w:val="00144BC9"/>
    <w:rsid w:val="00506448"/>
    <w:rsid w:val="00624FEA"/>
    <w:rsid w:val="006A103C"/>
    <w:rsid w:val="00A0781D"/>
    <w:rsid w:val="00A71ADD"/>
    <w:rsid w:val="00A77203"/>
    <w:rsid w:val="00D05E57"/>
    <w:rsid w:val="00FC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E57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shyam</cp:lastModifiedBy>
  <cp:revision>7</cp:revision>
  <dcterms:created xsi:type="dcterms:W3CDTF">2015-05-28T08:00:00Z</dcterms:created>
  <dcterms:modified xsi:type="dcterms:W3CDTF">2015-06-03T10:48:00Z</dcterms:modified>
</cp:coreProperties>
</file>