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36" w:rsidRPr="00AC3613" w:rsidRDefault="007B4736" w:rsidP="007B4736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AC3613">
        <w:rPr>
          <w:rFonts w:ascii="Times New Roman" w:hAnsi="Times New Roman" w:cs="Times New Roman"/>
          <w:b/>
          <w:sz w:val="20"/>
          <w:szCs w:val="20"/>
        </w:rPr>
        <w:t>Table 2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AC3613">
        <w:rPr>
          <w:rFonts w:ascii="Times New Roman" w:hAnsi="Times New Roman" w:cs="Times New Roman"/>
          <w:sz w:val="20"/>
          <w:szCs w:val="20"/>
        </w:rPr>
        <w:t xml:space="preserve"> Vaccination status of the study population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1008A" w:rsidRDefault="0091008A"/>
    <w:tbl>
      <w:tblPr>
        <w:tblStyle w:val="TableGrid"/>
        <w:tblW w:w="0" w:type="auto"/>
        <w:tblInd w:w="-5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709"/>
        <w:gridCol w:w="2647"/>
      </w:tblGrid>
      <w:tr w:rsidR="007B4736" w:rsidRPr="00AC3613" w:rsidTr="0034323F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EF7481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481">
              <w:rPr>
                <w:rFonts w:ascii="Times New Roman" w:hAnsi="Times New Roman" w:cs="Times New Roman"/>
                <w:b/>
                <w:sz w:val="20"/>
                <w:szCs w:val="20"/>
              </w:rPr>
              <w:t>Immunization status of participants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EF7481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48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EF7481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48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%</w:t>
            </w:r>
            <w:r w:rsidRPr="00EF7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(CI)</w:t>
            </w:r>
          </w:p>
        </w:tc>
      </w:tr>
      <w:tr w:rsidR="007B4736" w:rsidRPr="00AC3613" w:rsidTr="0034323F">
        <w:trPr>
          <w:trHeight w:val="325"/>
        </w:trPr>
        <w:tc>
          <w:tcPr>
            <w:tcW w:w="8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Number of vaccine doses received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B4736" w:rsidRPr="00AC3613" w:rsidTr="0034323F">
        <w:trPr>
          <w:trHeight w:val="366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5.8-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26.2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28.3-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55.7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20.9-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47.1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0.5-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15.5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rPr>
          <w:trHeight w:val="491"/>
        </w:trPr>
        <w:tc>
          <w:tcPr>
            <w:tcW w:w="8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Anti-HBs Antibody Rates</w:t>
            </w:r>
          </w:p>
        </w:tc>
      </w:tr>
      <w:tr w:rsidR="007B4736" w:rsidRPr="00AC3613" w:rsidTr="0034323F">
        <w:trPr>
          <w:trHeight w:val="4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 xml:space="preserve"> 10 UI/L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0.5-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15.5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rPr>
          <w:trHeight w:val="4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to 100 UI/L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4.4-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23.6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rPr>
          <w:trHeight w:val="4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to 1000 UI/L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24.6-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51.5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rPr>
          <w:trHeight w:val="4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1000 UI/L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26.4-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53.6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c>
          <w:tcPr>
            <w:tcW w:w="8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sz w:val="20"/>
                <w:szCs w:val="20"/>
              </w:rPr>
              <w:t>Total anti-HBc antibodies</w:t>
            </w:r>
          </w:p>
        </w:tc>
      </w:tr>
      <w:tr w:rsidR="007B4736" w:rsidRPr="00AC3613" w:rsidTr="0034323F">
        <w:trPr>
          <w:trHeight w:val="5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Presence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41.1-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69.5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736" w:rsidRPr="00AC3613" w:rsidTr="0034323F">
        <w:trPr>
          <w:trHeight w:val="4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Absence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36" w:rsidRPr="00AC3613" w:rsidRDefault="007B4736" w:rsidP="0034323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44.</w:t>
            </w:r>
            <w:r w:rsidRPr="00AC36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3613">
              <w:rPr>
                <w:rStyle w:val="lr"/>
                <w:rFonts w:ascii="Times New Roman" w:hAnsi="Times New Roman" w:cs="Times New Roman"/>
                <w:sz w:val="20"/>
                <w:szCs w:val="20"/>
              </w:rPr>
              <w:t>30.5-</w:t>
            </w:r>
            <w:r w:rsidRPr="00AC3613">
              <w:rPr>
                <w:rStyle w:val="ur"/>
                <w:rFonts w:ascii="Times New Roman" w:hAnsi="Times New Roman" w:cs="Times New Roman"/>
                <w:sz w:val="20"/>
                <w:szCs w:val="20"/>
              </w:rPr>
              <w:t>58.9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B4736" w:rsidRDefault="007B4736"/>
    <w:sectPr w:rsidR="007B4736" w:rsidSect="00910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B4736"/>
    <w:rsid w:val="002730D1"/>
    <w:rsid w:val="007B4736"/>
    <w:rsid w:val="0091008A"/>
    <w:rsid w:val="00D6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7B4736"/>
  </w:style>
  <w:style w:type="table" w:styleId="TableGrid">
    <w:name w:val="Table Grid"/>
    <w:basedOn w:val="TableNormal"/>
    <w:uiPriority w:val="39"/>
    <w:rsid w:val="007B4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">
    <w:name w:val="lr"/>
    <w:basedOn w:val="DefaultParagraphFont"/>
    <w:rsid w:val="007B4736"/>
  </w:style>
  <w:style w:type="character" w:customStyle="1" w:styleId="ur">
    <w:name w:val="ur"/>
    <w:basedOn w:val="DefaultParagraphFont"/>
    <w:rsid w:val="007B4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2</cp:revision>
  <dcterms:created xsi:type="dcterms:W3CDTF">2019-10-12T07:11:00Z</dcterms:created>
  <dcterms:modified xsi:type="dcterms:W3CDTF">2019-10-17T05:53:00Z</dcterms:modified>
</cp:coreProperties>
</file>