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71" w:rsidRPr="00E95271" w:rsidRDefault="00E95271" w:rsidP="00E95271">
      <w:pPr>
        <w:rPr>
          <w:rFonts w:ascii="Arial" w:hAnsi="Arial"/>
          <w:color w:val="000000" w:themeColor="text1"/>
          <w:sz w:val="20"/>
          <w:szCs w:val="20"/>
          <w:lang w:val="en-US"/>
        </w:rPr>
      </w:pPr>
      <w:r w:rsidRPr="00E95271">
        <w:rPr>
          <w:rFonts w:ascii="Arial" w:hAnsi="Arial"/>
          <w:b/>
          <w:color w:val="000000" w:themeColor="text1"/>
          <w:sz w:val="20"/>
          <w:szCs w:val="20"/>
          <w:lang w:val="en-US"/>
        </w:rPr>
        <w:t xml:space="preserve">Table 1: 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>Outcomes measures and comparison.</w:t>
      </w:r>
    </w:p>
    <w:tbl>
      <w:tblPr>
        <w:tblpPr w:leftFromText="180" w:rightFromText="180" w:vertAnchor="text" w:horzAnchor="margin" w:tblpXSpec="center" w:tblpY="267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6"/>
      </w:tblGrid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Outcomes measures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Formula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DAS28-ESR-3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[0.56 × √TJC + 0.28 × √SJC + 0.70 × ln (ESR)] × 1.08 + 0.16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DAS28-ESR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0.56 × √ TJC + 0.28 × √ SJC + 0.70 × ln (ESR) + 0.014 × (VAS)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DAS28-CRP-3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[0.56 × √ TJC + 0.28 × √ SJC + 0.36 × ln (CRP + 1)] × 1.10 + 1.15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DAS28-CRP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0.56 × √ TJC + 0.28 × √ SJC + 0.36 × ln (CRP + 1) + 0.014 × (VAS) + 0.96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Tamhane</w:t>
            </w:r>
            <w:proofErr w:type="spellEnd"/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, et al.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E95271" w:rsidRPr="00E95271" w:rsidTr="00AA6CAB">
        <w:trPr>
          <w:trHeight w:val="337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Adjusted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DAS28-CRP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0.56 × √ TJC + 0.28 × √ SJC + 0.1878 × ln (CRP + 1) + 0.014 × (VAS) + 0.0073 × (Age) + 0.2501 (if female) + 1.49843</w:t>
            </w:r>
          </w:p>
        </w:tc>
      </w:tr>
      <w:tr w:rsidR="00E95271" w:rsidRPr="00E95271" w:rsidTr="00E95271">
        <w:trPr>
          <w:trHeight w:val="308"/>
        </w:trPr>
        <w:tc>
          <w:tcPr>
            <w:tcW w:w="9017" w:type="dxa"/>
            <w:gridSpan w:val="2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Current study data-specific</w:t>
            </w:r>
          </w:p>
        </w:tc>
      </w:tr>
      <w:tr w:rsidR="00E95271" w:rsidRPr="00E95271" w:rsidTr="00AA6CAB">
        <w:trPr>
          <w:trHeight w:val="337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Unadjusted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vertAlign w:val="superscript"/>
              </w:rPr>
              <w:t>‡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DAS28-CRP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0.56 × √ TJC + 0.28 × √ SJC - 0.00762 × ln (CRP + 1) + 0.014 × (VAS) + 2.64021</w:t>
            </w:r>
          </w:p>
        </w:tc>
      </w:tr>
      <w:tr w:rsidR="00E95271" w:rsidRPr="00E95271" w:rsidTr="00AA6CAB">
        <w:trPr>
          <w:trHeight w:val="337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Adjusted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DAS28-CRP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0.56 × √ TJC + 0.28 × √ SJC - 0.01462 × ln (CRP + 1) + 0.014 × (VAS) - 0.00149 × (Age) - 0.13067 (if female) + 2.84654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</w:rPr>
              <w:t>Comparisons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[A]: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 xml:space="preserve"> DAS28-ESR and DAS28-CRP (standard)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AA6CAB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A6CAB" w:rsidRPr="00E95271" w:rsidRDefault="00AA6CAB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B]: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 xml:space="preserve"> DAS28-ESR-3 and DAS28-CRP-3 (excluding the patient’s global VAS assessment)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AA6CAB" w:rsidRPr="00E95271" w:rsidRDefault="00AA6CAB" w:rsidP="00B77C3D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A6CAB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A6CAB" w:rsidRPr="00E95271" w:rsidRDefault="00AA6CAB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[C]: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 xml:space="preserve"> DAS28-ESR and </w:t>
            </w:r>
            <w:proofErr w:type="spellStart"/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Tamhane</w:t>
            </w:r>
            <w:proofErr w:type="spellEnd"/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>, et al. DAS28-CRP (adjusted for age and sex)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AA6CAB" w:rsidRPr="00E95271" w:rsidRDefault="00AA6CAB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95271" w:rsidRPr="00E95271" w:rsidTr="00AA6CAB">
        <w:trPr>
          <w:trHeight w:val="30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[D]:</w:t>
            </w:r>
            <w:r w:rsidRPr="00E95271">
              <w:rPr>
                <w:rFonts w:ascii="Arial" w:eastAsia="Times New Roman" w:hAnsi="Arial"/>
                <w:color w:val="000000" w:themeColor="text1"/>
                <w:sz w:val="20"/>
                <w:szCs w:val="20"/>
                <w:lang w:val="en-US"/>
              </w:rPr>
              <w:t xml:space="preserve"> DAS28-ESR and current study data-specific DAS28-CRP (adjusted for age and sex)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  <w:p w:rsidR="00E95271" w:rsidRPr="00E95271" w:rsidRDefault="00E95271" w:rsidP="00B77C3D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95271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</w:tbl>
    <w:p w:rsidR="00E95271" w:rsidRPr="00E95271" w:rsidRDefault="00E95271">
      <w:pPr>
        <w:rPr>
          <w:rFonts w:ascii="Arial" w:hAnsi="Arial"/>
          <w:color w:val="000000" w:themeColor="text1"/>
          <w:sz w:val="20"/>
          <w:szCs w:val="20"/>
        </w:rPr>
      </w:pPr>
    </w:p>
    <w:p w:rsidR="00AA6CAB" w:rsidRDefault="00AA6CAB" w:rsidP="00E95271">
      <w:pPr>
        <w:spacing w:after="0" w:line="360" w:lineRule="auto"/>
        <w:jc w:val="both"/>
        <w:rPr>
          <w:rFonts w:ascii="Arial" w:hAnsi="Arial"/>
          <w:color w:val="000000" w:themeColor="text1"/>
          <w:sz w:val="20"/>
          <w:szCs w:val="20"/>
          <w:vertAlign w:val="superscript"/>
          <w:lang w:val="en-US"/>
        </w:rPr>
      </w:pPr>
    </w:p>
    <w:p w:rsidR="00E95271" w:rsidRPr="00E95271" w:rsidRDefault="00E95271" w:rsidP="00E95271">
      <w:pPr>
        <w:spacing w:after="0"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val="en-US" w:eastAsia="fr-FR"/>
        </w:rPr>
      </w:pPr>
      <w:r w:rsidRPr="00E95271">
        <w:rPr>
          <w:rFonts w:ascii="Arial" w:hAnsi="Arial"/>
          <w:color w:val="000000" w:themeColor="text1"/>
          <w:sz w:val="20"/>
          <w:szCs w:val="20"/>
          <w:vertAlign w:val="superscript"/>
          <w:lang w:val="en-US"/>
        </w:rPr>
        <w:t>‡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: Unadjusted for age and sex; </w:t>
      </w:r>
      <w:r w:rsidRPr="00E95271">
        <w:rPr>
          <w:rFonts w:ascii="Arial" w:hAnsi="Arial"/>
          <w:color w:val="000000" w:themeColor="text1"/>
          <w:sz w:val="20"/>
          <w:szCs w:val="20"/>
          <w:vertAlign w:val="superscript"/>
          <w:lang w:val="en-US"/>
        </w:rPr>
        <w:t>†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: Adjusted for age and sex; </w:t>
      </w:r>
      <w:r w:rsidRPr="00E95271">
        <w:rPr>
          <w:rFonts w:ascii="Arial" w:eastAsia="Times New Roman" w:hAnsi="Arial"/>
          <w:color w:val="000000" w:themeColor="text1"/>
          <w:sz w:val="20"/>
          <w:szCs w:val="20"/>
          <w:lang w:val="en-US" w:eastAsia="fr-FR"/>
        </w:rPr>
        <w:t xml:space="preserve">√: square root; 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DAS: Disease Activity Score; ESR: Erythrocyte Sedimentation Rate; CRP: C-Reactive Protein; </w:t>
      </w:r>
      <w:r w:rsidRPr="00E95271">
        <w:rPr>
          <w:rFonts w:ascii="Arial" w:eastAsia="Times New Roman" w:hAnsi="Arial"/>
          <w:color w:val="000000" w:themeColor="text1"/>
          <w:sz w:val="20"/>
          <w:szCs w:val="20"/>
          <w:lang w:val="en-US" w:eastAsia="fr-FR"/>
        </w:rPr>
        <w:t>TJC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: 28 Tender Joint Count; </w:t>
      </w:r>
      <w:r w:rsidRPr="00E95271">
        <w:rPr>
          <w:rFonts w:ascii="Arial" w:eastAsia="Times New Roman" w:hAnsi="Arial"/>
          <w:color w:val="000000" w:themeColor="text1"/>
          <w:sz w:val="20"/>
          <w:szCs w:val="20"/>
          <w:lang w:val="en-US" w:eastAsia="fr-FR"/>
        </w:rPr>
        <w:t>SJC</w:t>
      </w:r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: 28 Swollen Joint Count; VAS: Visual Analog Scale, self-assessed patient global assessment of disease activity on a VAS of 0 to 100 mm. [A]: Was the comparison between the standard DAS28 scores (DAS28-ESR and DAS28-CRP); [B]: Compared the between DAS28 scores that used only three variables (DAS28-ESR-3 and DAS28-CRP-3) without the patient’s global VAS assessment; [C]: was the comparison between DAS28-ESR and DAS28-CRP adjusted for age and sex used by </w:t>
      </w:r>
      <w:proofErr w:type="spellStart"/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>Tamhane</w:t>
      </w:r>
      <w:proofErr w:type="spellEnd"/>
      <w:r w:rsidRPr="00E95271">
        <w:rPr>
          <w:rFonts w:ascii="Arial" w:hAnsi="Arial"/>
          <w:color w:val="000000" w:themeColor="text1"/>
          <w:sz w:val="20"/>
          <w:szCs w:val="20"/>
          <w:lang w:val="en-US"/>
        </w:rPr>
        <w:t xml:space="preserve">, et al. in African Americans patients with RA [13]; [D]: Compared DAS28-ESR and DAS28-CRP adjusted for age and sex </w:t>
      </w:r>
      <w:r w:rsidRPr="00E95271">
        <w:rPr>
          <w:rFonts w:ascii="Arial" w:eastAsia="Times New Roman" w:hAnsi="Arial"/>
          <w:color w:val="000000" w:themeColor="text1"/>
          <w:sz w:val="20"/>
          <w:szCs w:val="20"/>
          <w:lang w:val="en-US" w:eastAsia="fr-FR"/>
        </w:rPr>
        <w:t>derived from the current study data-specific.</w:t>
      </w:r>
    </w:p>
    <w:p w:rsidR="00E95271" w:rsidRPr="00E95271" w:rsidRDefault="00E95271">
      <w:pPr>
        <w:rPr>
          <w:rFonts w:ascii="Arial" w:hAnsi="Arial"/>
          <w:color w:val="000000" w:themeColor="text1"/>
          <w:sz w:val="20"/>
          <w:szCs w:val="20"/>
        </w:rPr>
      </w:pPr>
    </w:p>
    <w:sectPr w:rsidR="00E95271" w:rsidRPr="00E95271" w:rsidSect="00E9527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1"/>
    <w:rsid w:val="000F3956"/>
    <w:rsid w:val="006F33AB"/>
    <w:rsid w:val="00AA6CAB"/>
    <w:rsid w:val="00B470BE"/>
    <w:rsid w:val="00E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2493"/>
  <w15:chartTrackingRefBased/>
  <w15:docId w15:val="{FF4E2321-4486-41E8-8EB6-280510E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71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2020-08-19T06:10:00Z</dcterms:created>
  <dcterms:modified xsi:type="dcterms:W3CDTF">2020-08-20T03:52:00Z</dcterms:modified>
</cp:coreProperties>
</file>