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18" w:rsidRDefault="00EF0918" w:rsidP="00EF0918">
      <w:pPr>
        <w:jc w:val="center"/>
        <w:rPr>
          <w:sz w:val="24"/>
          <w:szCs w:val="24"/>
          <w:u w:val="single"/>
        </w:rPr>
      </w:pPr>
      <w:r>
        <w:rPr>
          <w:sz w:val="24"/>
          <w:szCs w:val="24"/>
          <w:u w:val="single"/>
        </w:rPr>
        <w:t>Appendix A</w:t>
      </w:r>
    </w:p>
    <w:p w:rsidR="00EF0918" w:rsidRDefault="00EF0918" w:rsidP="00EF0918">
      <w:pPr>
        <w:jc w:val="center"/>
        <w:rPr>
          <w:sz w:val="24"/>
          <w:szCs w:val="24"/>
          <w:u w:val="single"/>
        </w:rPr>
      </w:pPr>
    </w:p>
    <w:p w:rsidR="00EF0918" w:rsidRDefault="00EF0918" w:rsidP="00EF0918">
      <w:pPr>
        <w:jc w:val="center"/>
        <w:rPr>
          <w:sz w:val="24"/>
          <w:szCs w:val="24"/>
          <w:u w:val="single"/>
        </w:rPr>
      </w:pPr>
      <w:r w:rsidRPr="008E08D8">
        <w:rPr>
          <w:sz w:val="24"/>
          <w:szCs w:val="24"/>
          <w:u w:val="single"/>
        </w:rPr>
        <w:t>Case Study- Application of Beers Criteria</w:t>
      </w:r>
    </w:p>
    <w:p w:rsidR="00EF0918" w:rsidRDefault="00EF0918" w:rsidP="00EF0918">
      <w:pPr>
        <w:jc w:val="center"/>
        <w:rPr>
          <w:sz w:val="24"/>
          <w:szCs w:val="24"/>
          <w:u w:val="single"/>
        </w:rPr>
      </w:pPr>
    </w:p>
    <w:p w:rsidR="00EF0918" w:rsidRPr="004A304F" w:rsidRDefault="00EF0918" w:rsidP="00EF0918">
      <w:pPr>
        <w:rPr>
          <w:b/>
          <w:sz w:val="24"/>
          <w:szCs w:val="24"/>
        </w:rPr>
      </w:pPr>
      <w:r w:rsidRPr="004A304F">
        <w:rPr>
          <w:b/>
          <w:sz w:val="24"/>
          <w:szCs w:val="24"/>
        </w:rPr>
        <w:t xml:space="preserve">Date_________        Market </w:t>
      </w:r>
      <w:proofErr w:type="spellStart"/>
      <w:r w:rsidRPr="004A304F">
        <w:rPr>
          <w:b/>
          <w:sz w:val="24"/>
          <w:szCs w:val="24"/>
        </w:rPr>
        <w:t>members__________________Discipline</w:t>
      </w:r>
      <w:proofErr w:type="spellEnd"/>
      <w:r w:rsidRPr="004A304F">
        <w:rPr>
          <w:b/>
          <w:sz w:val="24"/>
          <w:szCs w:val="24"/>
        </w:rPr>
        <w:t>_______________</w:t>
      </w:r>
    </w:p>
    <w:p w:rsidR="00EF0918" w:rsidRPr="004A304F" w:rsidRDefault="00EF0918" w:rsidP="00EF0918">
      <w:pPr>
        <w:rPr>
          <w:b/>
          <w:sz w:val="24"/>
          <w:szCs w:val="24"/>
        </w:rPr>
      </w:pPr>
    </w:p>
    <w:p w:rsidR="00EF0918" w:rsidRPr="00383906" w:rsidRDefault="00EF0918" w:rsidP="00EF0918">
      <w:pPr>
        <w:rPr>
          <w:sz w:val="24"/>
          <w:szCs w:val="24"/>
        </w:rPr>
      </w:pPr>
      <w:proofErr w:type="gramStart"/>
      <w:r w:rsidRPr="00383906">
        <w:rPr>
          <w:sz w:val="24"/>
          <w:szCs w:val="24"/>
        </w:rPr>
        <w:t xml:space="preserve">Smith, G., </w:t>
      </w:r>
      <w:proofErr w:type="spellStart"/>
      <w:r w:rsidRPr="00383906">
        <w:rPr>
          <w:sz w:val="24"/>
          <w:szCs w:val="24"/>
        </w:rPr>
        <w:t>Kireuk</w:t>
      </w:r>
      <w:proofErr w:type="spellEnd"/>
      <w:r w:rsidRPr="00383906">
        <w:rPr>
          <w:sz w:val="24"/>
          <w:szCs w:val="24"/>
        </w:rPr>
        <w:t>, T. (2013) Case Study:  Moving beyond the Beers in translating into practice.</w:t>
      </w:r>
      <w:proofErr w:type="gramEnd"/>
      <w:r w:rsidRPr="00383906">
        <w:rPr>
          <w:sz w:val="24"/>
          <w:szCs w:val="24"/>
        </w:rPr>
        <w:t xml:space="preserve">  </w:t>
      </w:r>
      <w:r w:rsidRPr="00383906">
        <w:rPr>
          <w:sz w:val="24"/>
          <w:szCs w:val="24"/>
        </w:rPr>
        <w:tab/>
      </w:r>
      <w:proofErr w:type="gramStart"/>
      <w:r w:rsidRPr="00383906">
        <w:rPr>
          <w:i/>
          <w:sz w:val="24"/>
          <w:szCs w:val="24"/>
        </w:rPr>
        <w:t>Geriatric Nursing</w:t>
      </w:r>
      <w:r w:rsidRPr="00383906">
        <w:rPr>
          <w:sz w:val="24"/>
          <w:szCs w:val="24"/>
        </w:rPr>
        <w:t xml:space="preserve"> 934) 28-432.</w:t>
      </w:r>
      <w:proofErr w:type="gramEnd"/>
    </w:p>
    <w:p w:rsidR="00EF0918" w:rsidRPr="00383906" w:rsidRDefault="00EF0918" w:rsidP="00EF0918">
      <w:pPr>
        <w:rPr>
          <w:sz w:val="24"/>
          <w:szCs w:val="24"/>
        </w:rPr>
      </w:pPr>
    </w:p>
    <w:p w:rsidR="00EF0918" w:rsidRPr="00383906" w:rsidRDefault="00EF0918" w:rsidP="00EF0918">
      <w:pPr>
        <w:rPr>
          <w:sz w:val="24"/>
          <w:szCs w:val="24"/>
        </w:rPr>
      </w:pPr>
      <w:r w:rsidRPr="00383906">
        <w:rPr>
          <w:sz w:val="24"/>
          <w:szCs w:val="24"/>
        </w:rPr>
        <w:tab/>
        <w:t>Introduction:</w:t>
      </w:r>
    </w:p>
    <w:p w:rsidR="00EF0918" w:rsidRPr="00383906" w:rsidRDefault="00EF0918" w:rsidP="00EF0918">
      <w:pPr>
        <w:rPr>
          <w:i/>
          <w:sz w:val="24"/>
          <w:szCs w:val="24"/>
        </w:rPr>
      </w:pPr>
      <w:r w:rsidRPr="00383906">
        <w:rPr>
          <w:i/>
          <w:sz w:val="24"/>
          <w:szCs w:val="24"/>
        </w:rPr>
        <w:t xml:space="preserve">New geriatric patients with complicated medical histories that come to our practice may challenge our general approaches to treatment and management.  Many geriatric patients come with several chronic diseases, are taking multiple medications as well as, some experience the added challenge of having cognitive impairment.  Case studies are invaluable tools for presenting and creating a dialog from real world examples of the many challenges in the world with older adults.    This case study will examine our experiences with a newly admitted older patient to the clinic who has been prescribed several medications and who was experiencing questionable cognitive impairment.   </w:t>
      </w:r>
    </w:p>
    <w:p w:rsidR="00EF0918" w:rsidRPr="00383906" w:rsidRDefault="00EF0918" w:rsidP="00EF0918">
      <w:pPr>
        <w:rPr>
          <w:i/>
          <w:sz w:val="24"/>
          <w:szCs w:val="24"/>
        </w:rPr>
      </w:pPr>
      <w:r w:rsidRPr="00383906">
        <w:rPr>
          <w:i/>
          <w:sz w:val="24"/>
          <w:szCs w:val="24"/>
        </w:rPr>
        <w:tab/>
        <w:t>The case study will examine the application of the Beers Criteria</w:t>
      </w:r>
    </w:p>
    <w:p w:rsidR="00EF0918" w:rsidRPr="00383906" w:rsidRDefault="00EF0918" w:rsidP="00EF0918">
      <w:pPr>
        <w:rPr>
          <w:i/>
          <w:sz w:val="24"/>
          <w:szCs w:val="24"/>
        </w:rPr>
      </w:pPr>
      <w:r w:rsidRPr="00383906">
        <w:rPr>
          <w:i/>
          <w:sz w:val="24"/>
          <w:szCs w:val="24"/>
        </w:rPr>
        <w:tab/>
        <w:t xml:space="preserve">The 2012 Beers Criteria for PIM use in older adults was updated and revised.  The intent of the criteria is guide the provider in selecting medications for older adults by considering the appropriateness of the drugs, drug-disease interactions, medications that warrant additional scrutiny when used with older adults.  The Beers Criteria was not intended to mandate particular prescribing patterns, but are a guide good geriatric care and principles.  </w:t>
      </w:r>
    </w:p>
    <w:p w:rsidR="00EF0918" w:rsidRPr="00383906" w:rsidRDefault="00EF0918" w:rsidP="00EF0918">
      <w:pPr>
        <w:widowControl w:val="0"/>
        <w:overflowPunct/>
        <w:autoSpaceDE/>
        <w:autoSpaceDN/>
        <w:adjustRightInd/>
        <w:spacing w:before="65" w:line="252" w:lineRule="auto"/>
        <w:ind w:right="-51"/>
        <w:jc w:val="both"/>
        <w:textAlignment w:val="auto"/>
        <w:rPr>
          <w:sz w:val="24"/>
          <w:szCs w:val="24"/>
        </w:rPr>
      </w:pPr>
    </w:p>
    <w:p w:rsidR="00EF0918" w:rsidRPr="00383906" w:rsidRDefault="00EF0918" w:rsidP="00EF0918">
      <w:pPr>
        <w:spacing w:line="360" w:lineRule="auto"/>
        <w:rPr>
          <w:sz w:val="24"/>
          <w:szCs w:val="24"/>
        </w:rPr>
      </w:pPr>
      <w:r w:rsidRPr="00383906">
        <w:rPr>
          <w:sz w:val="24"/>
          <w:szCs w:val="24"/>
        </w:rPr>
        <w:tab/>
        <w:t>Fred is a 71 year old black male who emigrated to the U.S. from South Africa over 20 years with his primary language being French. He speaks broken English and it is not clear how much he is able to understand in English.  Fred was referred to the primary care clinic from rehabilitation medicine after suffering from a Pontiac cerebral vascular accident (CVA) 2 months ago.  He lives alone independently in a small apartment.  He has a sister who lives about 20 minutes from his apartment and serves as his primary translator.</w:t>
      </w:r>
    </w:p>
    <w:p w:rsidR="00EF0918" w:rsidRPr="00383906" w:rsidRDefault="00EF0918" w:rsidP="00EF0918">
      <w:pPr>
        <w:spacing w:line="360" w:lineRule="auto"/>
        <w:rPr>
          <w:sz w:val="24"/>
          <w:szCs w:val="24"/>
        </w:rPr>
      </w:pPr>
      <w:r w:rsidRPr="00383906">
        <w:rPr>
          <w:sz w:val="24"/>
          <w:szCs w:val="24"/>
        </w:rPr>
        <w:tab/>
        <w:t xml:space="preserve">In addition to suffering a Pontiac CVA Fred has a history of hypertension, Diabetes Mellitus-Type II, </w:t>
      </w:r>
      <w:proofErr w:type="spellStart"/>
      <w:r w:rsidRPr="00383906">
        <w:rPr>
          <w:sz w:val="24"/>
          <w:szCs w:val="24"/>
        </w:rPr>
        <w:t>Dyslipidemia</w:t>
      </w:r>
      <w:proofErr w:type="spellEnd"/>
      <w:r w:rsidRPr="00383906">
        <w:rPr>
          <w:sz w:val="24"/>
          <w:szCs w:val="24"/>
        </w:rPr>
        <w:t xml:space="preserve">, and </w:t>
      </w:r>
      <w:proofErr w:type="spellStart"/>
      <w:r w:rsidRPr="00383906">
        <w:rPr>
          <w:sz w:val="24"/>
          <w:szCs w:val="24"/>
        </w:rPr>
        <w:t>Atrial</w:t>
      </w:r>
      <w:proofErr w:type="spellEnd"/>
      <w:r w:rsidRPr="00383906">
        <w:rPr>
          <w:sz w:val="24"/>
          <w:szCs w:val="24"/>
        </w:rPr>
        <w:t xml:space="preserve"> Fibrillation.  He is a nonsmoker and denies use of alcohol or illicit drugs.  He fell twice without injury while in the rehabilitation unit. He also reports occasional urinary dribbling.  Upon discharge from the rehabilitation facility, according to the discharge summary his blood pressure was well controlled.  His sister was planning to check on him daily by phone and see him weekly to set up his medications, as well as, grocery shop.  He receives two meals per day from </w:t>
      </w:r>
      <w:r w:rsidRPr="00383906">
        <w:rPr>
          <w:i/>
          <w:sz w:val="24"/>
          <w:szCs w:val="24"/>
        </w:rPr>
        <w:t xml:space="preserve">Meals on Wheels </w:t>
      </w:r>
      <w:r w:rsidRPr="00383906">
        <w:rPr>
          <w:sz w:val="24"/>
          <w:szCs w:val="24"/>
        </w:rPr>
        <w:t xml:space="preserve">and has personal care assistance for housekeeping services.  </w:t>
      </w:r>
    </w:p>
    <w:p w:rsidR="00EF0918" w:rsidRPr="00383906" w:rsidRDefault="00EF0918" w:rsidP="00EF0918">
      <w:pPr>
        <w:spacing w:line="360" w:lineRule="auto"/>
        <w:rPr>
          <w:sz w:val="24"/>
          <w:szCs w:val="24"/>
        </w:rPr>
      </w:pPr>
      <w:r w:rsidRPr="00383906">
        <w:rPr>
          <w:sz w:val="24"/>
          <w:szCs w:val="24"/>
        </w:rPr>
        <w:lastRenderedPageBreak/>
        <w:tab/>
        <w:t xml:space="preserve">His vital signs included weight 152 lbs., height 68 inches, </w:t>
      </w:r>
      <w:proofErr w:type="spellStart"/>
      <w:r w:rsidRPr="00383906">
        <w:rPr>
          <w:sz w:val="24"/>
          <w:szCs w:val="24"/>
        </w:rPr>
        <w:t>afebrile</w:t>
      </w:r>
      <w:proofErr w:type="spellEnd"/>
      <w:r w:rsidRPr="00383906">
        <w:rPr>
          <w:sz w:val="24"/>
          <w:szCs w:val="24"/>
        </w:rPr>
        <w:t xml:space="preserve">, blood pressure 180/09, pulse 61/min, respiratory rate 18/min., and pulse </w:t>
      </w:r>
      <w:proofErr w:type="spellStart"/>
      <w:r w:rsidRPr="00383906">
        <w:rPr>
          <w:sz w:val="24"/>
          <w:szCs w:val="24"/>
        </w:rPr>
        <w:t>oximeter</w:t>
      </w:r>
      <w:proofErr w:type="spellEnd"/>
      <w:r w:rsidRPr="00383906">
        <w:rPr>
          <w:sz w:val="24"/>
          <w:szCs w:val="24"/>
        </w:rPr>
        <w:t xml:space="preserve"> is 99% on room air.  The visit was challenging due to his language barrier because his sister was unable to accompany him, as well as, possibly cognitive impairment due to the recent O/A.  Pt. has +1 bilateral lower limb edema.  The remainder of the exam was WNL lab results included  A1C= 7.4, Sodium 137, Potassium 4.1, </w:t>
      </w:r>
      <w:proofErr w:type="spellStart"/>
      <w:r w:rsidRPr="00383906">
        <w:rPr>
          <w:sz w:val="24"/>
          <w:szCs w:val="24"/>
        </w:rPr>
        <w:t>Creatinine</w:t>
      </w:r>
      <w:proofErr w:type="spellEnd"/>
      <w:r w:rsidRPr="00383906">
        <w:rPr>
          <w:sz w:val="24"/>
          <w:szCs w:val="24"/>
        </w:rPr>
        <w:t xml:space="preserve"> 1.1, BUN 19, GFR 60.1, LDL 136, HLD 37, Triglycerides 132, INR 1.2</w:t>
      </w:r>
    </w:p>
    <w:p w:rsidR="00EF0918" w:rsidRPr="00383906" w:rsidRDefault="00EF0918" w:rsidP="00EF0918">
      <w:pPr>
        <w:spacing w:line="360" w:lineRule="auto"/>
        <w:rPr>
          <w:sz w:val="24"/>
          <w:szCs w:val="24"/>
        </w:rPr>
      </w:pPr>
      <w:r w:rsidRPr="00383906">
        <w:rPr>
          <w:b/>
          <w:i/>
          <w:sz w:val="24"/>
          <w:szCs w:val="24"/>
          <w:u w:val="single"/>
        </w:rPr>
        <w:t>Assessment</w:t>
      </w:r>
      <w:r w:rsidRPr="00383906">
        <w:rPr>
          <w:b/>
          <w:i/>
          <w:sz w:val="24"/>
          <w:szCs w:val="24"/>
        </w:rPr>
        <w:t>:</w:t>
      </w:r>
      <w:r w:rsidRPr="00383906">
        <w:rPr>
          <w:i/>
          <w:sz w:val="24"/>
          <w:szCs w:val="24"/>
        </w:rPr>
        <w:t xml:space="preserve"> </w:t>
      </w:r>
      <w:r w:rsidRPr="00383906">
        <w:rPr>
          <w:sz w:val="24"/>
          <w:szCs w:val="24"/>
        </w:rPr>
        <w:t xml:space="preserve">Primary concerns: language barrier, questionable cognitive impairment, uncontrolled blood pressure, possible resistive hypertension, poorly controlled glucose, inadequate coagulation therapy </w:t>
      </w:r>
    </w:p>
    <w:p w:rsidR="00EF0918" w:rsidRPr="00383906" w:rsidRDefault="00EF0918" w:rsidP="00EF0918">
      <w:pPr>
        <w:spacing w:line="360" w:lineRule="auto"/>
        <w:rPr>
          <w:sz w:val="24"/>
          <w:szCs w:val="24"/>
        </w:rPr>
      </w:pPr>
      <w:r w:rsidRPr="00383906">
        <w:rPr>
          <w:b/>
          <w:i/>
          <w:sz w:val="24"/>
          <w:szCs w:val="24"/>
          <w:u w:val="single"/>
        </w:rPr>
        <w:t>Plan</w:t>
      </w:r>
      <w:r w:rsidRPr="00383906">
        <w:rPr>
          <w:i/>
          <w:sz w:val="24"/>
          <w:szCs w:val="24"/>
        </w:rPr>
        <w:t>:</w:t>
      </w:r>
      <w:r w:rsidRPr="00383906">
        <w:rPr>
          <w:sz w:val="24"/>
          <w:szCs w:val="24"/>
        </w:rPr>
        <w:t xml:space="preserve"> Medication reconciliation by care coordinator to assist patient’s sister in medication set up and arrange for drug assistance program </w:t>
      </w:r>
    </w:p>
    <w:p w:rsidR="00EF0918" w:rsidRPr="00383906" w:rsidRDefault="00EF0918" w:rsidP="00EF0918">
      <w:pPr>
        <w:spacing w:line="360" w:lineRule="auto"/>
        <w:rPr>
          <w:sz w:val="24"/>
          <w:szCs w:val="24"/>
        </w:rPr>
      </w:pPr>
      <w:r w:rsidRPr="00383906">
        <w:rPr>
          <w:b/>
          <w:i/>
          <w:sz w:val="24"/>
          <w:szCs w:val="24"/>
          <w:u w:val="single"/>
        </w:rPr>
        <w:t>Follow-up:</w:t>
      </w:r>
      <w:r w:rsidRPr="00383906">
        <w:rPr>
          <w:i/>
          <w:sz w:val="24"/>
          <w:szCs w:val="24"/>
        </w:rPr>
        <w:t xml:space="preserve"> </w:t>
      </w:r>
      <w:r w:rsidRPr="00383906">
        <w:rPr>
          <w:sz w:val="24"/>
          <w:szCs w:val="24"/>
        </w:rPr>
        <w:t xml:space="preserve"> Fred will be followed with a week visit in his home through </w:t>
      </w:r>
      <w:proofErr w:type="spellStart"/>
      <w:r w:rsidRPr="00383906">
        <w:rPr>
          <w:sz w:val="24"/>
          <w:szCs w:val="24"/>
        </w:rPr>
        <w:t>tele</w:t>
      </w:r>
      <w:proofErr w:type="spellEnd"/>
      <w:r w:rsidRPr="00383906">
        <w:rPr>
          <w:sz w:val="24"/>
          <w:szCs w:val="24"/>
        </w:rPr>
        <w:t xml:space="preserve"> health services.  The clinic </w:t>
      </w:r>
      <w:proofErr w:type="spellStart"/>
      <w:r w:rsidRPr="00383906">
        <w:rPr>
          <w:sz w:val="24"/>
          <w:szCs w:val="24"/>
        </w:rPr>
        <w:t>tele</w:t>
      </w:r>
      <w:proofErr w:type="spellEnd"/>
      <w:r w:rsidRPr="00383906">
        <w:rPr>
          <w:sz w:val="24"/>
          <w:szCs w:val="24"/>
        </w:rPr>
        <w:t xml:space="preserve"> health visits will be coordinated weekly to have Fred’s sister and clinic nurse present during the visit</w:t>
      </w:r>
    </w:p>
    <w:p w:rsidR="005745AE" w:rsidRPr="00383906" w:rsidRDefault="005745AE" w:rsidP="005745AE">
      <w:pPr>
        <w:rPr>
          <w:b/>
          <w:sz w:val="24"/>
          <w:szCs w:val="24"/>
          <w:u w:val="single"/>
        </w:rPr>
      </w:pPr>
      <w:r w:rsidRPr="00383906">
        <w:rPr>
          <w:b/>
          <w:sz w:val="24"/>
          <w:szCs w:val="24"/>
          <w:u w:val="single"/>
        </w:rPr>
        <w:t>Medications prescribed upon discharge from rehabilitation</w:t>
      </w:r>
    </w:p>
    <w:p w:rsidR="005745AE" w:rsidRPr="00383906" w:rsidRDefault="005745AE" w:rsidP="005745AE">
      <w:pPr>
        <w:rPr>
          <w:sz w:val="24"/>
          <w:szCs w:val="24"/>
        </w:rPr>
      </w:pPr>
    </w:p>
    <w:p w:rsidR="005745AE" w:rsidRPr="00383906" w:rsidRDefault="005745AE" w:rsidP="005745AE">
      <w:pPr>
        <w:rPr>
          <w:sz w:val="24"/>
          <w:szCs w:val="24"/>
        </w:rPr>
      </w:pPr>
      <w:r w:rsidRPr="00383906">
        <w:rPr>
          <w:sz w:val="24"/>
          <w:szCs w:val="24"/>
        </w:rPr>
        <w:t>Table 1</w:t>
      </w:r>
    </w:p>
    <w:tbl>
      <w:tblPr>
        <w:tblStyle w:val="TableGrid"/>
        <w:tblW w:w="0" w:type="auto"/>
        <w:tblLook w:val="04A0"/>
      </w:tblPr>
      <w:tblGrid>
        <w:gridCol w:w="3192"/>
        <w:gridCol w:w="3192"/>
        <w:gridCol w:w="3192"/>
      </w:tblGrid>
      <w:tr w:rsidR="005745AE" w:rsidRPr="00383906" w:rsidTr="00040AAA">
        <w:tc>
          <w:tcPr>
            <w:tcW w:w="3192" w:type="dxa"/>
          </w:tcPr>
          <w:p w:rsidR="005745AE" w:rsidRPr="00383906" w:rsidRDefault="005745AE" w:rsidP="00040AAA">
            <w:pPr>
              <w:rPr>
                <w:b/>
                <w:sz w:val="24"/>
                <w:szCs w:val="24"/>
              </w:rPr>
            </w:pPr>
            <w:r w:rsidRPr="00383906">
              <w:rPr>
                <w:b/>
                <w:sz w:val="24"/>
                <w:szCs w:val="24"/>
              </w:rPr>
              <w:t>Medications</w:t>
            </w:r>
          </w:p>
        </w:tc>
        <w:tc>
          <w:tcPr>
            <w:tcW w:w="3192" w:type="dxa"/>
          </w:tcPr>
          <w:p w:rsidR="005745AE" w:rsidRPr="00383906" w:rsidRDefault="005745AE" w:rsidP="00040AAA">
            <w:pPr>
              <w:rPr>
                <w:b/>
                <w:sz w:val="24"/>
                <w:szCs w:val="24"/>
              </w:rPr>
            </w:pPr>
            <w:r w:rsidRPr="00383906">
              <w:rPr>
                <w:b/>
                <w:sz w:val="24"/>
                <w:szCs w:val="24"/>
              </w:rPr>
              <w:t>Dose</w:t>
            </w:r>
          </w:p>
        </w:tc>
        <w:tc>
          <w:tcPr>
            <w:tcW w:w="3192" w:type="dxa"/>
          </w:tcPr>
          <w:p w:rsidR="005745AE" w:rsidRPr="00383906" w:rsidRDefault="005745AE" w:rsidP="00040AAA">
            <w:pPr>
              <w:rPr>
                <w:b/>
                <w:sz w:val="24"/>
                <w:szCs w:val="24"/>
              </w:rPr>
            </w:pPr>
            <w:r w:rsidRPr="00383906">
              <w:rPr>
                <w:b/>
                <w:sz w:val="24"/>
                <w:szCs w:val="24"/>
              </w:rPr>
              <w:t>Frequency</w:t>
            </w:r>
          </w:p>
        </w:tc>
      </w:tr>
      <w:tr w:rsidR="005745AE" w:rsidRPr="00383906" w:rsidTr="00040AAA">
        <w:tc>
          <w:tcPr>
            <w:tcW w:w="3192" w:type="dxa"/>
          </w:tcPr>
          <w:p w:rsidR="005745AE" w:rsidRPr="00383906" w:rsidRDefault="005745AE" w:rsidP="00040AAA">
            <w:pPr>
              <w:rPr>
                <w:sz w:val="24"/>
                <w:szCs w:val="24"/>
              </w:rPr>
            </w:pPr>
            <w:proofErr w:type="spellStart"/>
            <w:r w:rsidRPr="00383906">
              <w:rPr>
                <w:sz w:val="24"/>
                <w:szCs w:val="24"/>
              </w:rPr>
              <w:t>warfarin</w:t>
            </w:r>
            <w:proofErr w:type="spellEnd"/>
            <w:r w:rsidRPr="00383906">
              <w:rPr>
                <w:sz w:val="24"/>
                <w:szCs w:val="24"/>
              </w:rPr>
              <w:t xml:space="preserve"> (Coumadin)</w:t>
            </w:r>
          </w:p>
        </w:tc>
        <w:tc>
          <w:tcPr>
            <w:tcW w:w="3192" w:type="dxa"/>
          </w:tcPr>
          <w:p w:rsidR="005745AE" w:rsidRPr="00383906" w:rsidRDefault="005745AE" w:rsidP="00040AAA">
            <w:pPr>
              <w:rPr>
                <w:sz w:val="24"/>
                <w:szCs w:val="24"/>
              </w:rPr>
            </w:pPr>
            <w:r w:rsidRPr="00383906">
              <w:rPr>
                <w:sz w:val="24"/>
                <w:szCs w:val="24"/>
              </w:rPr>
              <w:t>5mg.</w:t>
            </w:r>
          </w:p>
        </w:tc>
        <w:tc>
          <w:tcPr>
            <w:tcW w:w="3192" w:type="dxa"/>
          </w:tcPr>
          <w:p w:rsidR="005745AE" w:rsidRPr="00383906" w:rsidRDefault="005745AE" w:rsidP="00040AAA">
            <w:pPr>
              <w:rPr>
                <w:sz w:val="24"/>
                <w:szCs w:val="24"/>
              </w:rPr>
            </w:pPr>
            <w:r w:rsidRPr="00383906">
              <w:rPr>
                <w:sz w:val="24"/>
                <w:szCs w:val="24"/>
              </w:rPr>
              <w:t>daily</w:t>
            </w:r>
          </w:p>
        </w:tc>
      </w:tr>
      <w:tr w:rsidR="005745AE" w:rsidRPr="00383906" w:rsidTr="00040AAA">
        <w:tc>
          <w:tcPr>
            <w:tcW w:w="3192" w:type="dxa"/>
          </w:tcPr>
          <w:p w:rsidR="005745AE" w:rsidRPr="00383906" w:rsidRDefault="005745AE" w:rsidP="00040AAA">
            <w:pPr>
              <w:rPr>
                <w:sz w:val="24"/>
                <w:szCs w:val="24"/>
              </w:rPr>
            </w:pPr>
            <w:proofErr w:type="spellStart"/>
            <w:r w:rsidRPr="00383906">
              <w:rPr>
                <w:sz w:val="24"/>
                <w:szCs w:val="24"/>
              </w:rPr>
              <w:t>metaprolol</w:t>
            </w:r>
            <w:proofErr w:type="spellEnd"/>
            <w:r w:rsidRPr="00383906">
              <w:rPr>
                <w:sz w:val="24"/>
                <w:szCs w:val="24"/>
              </w:rPr>
              <w:t xml:space="preserve"> (</w:t>
            </w:r>
            <w:proofErr w:type="spellStart"/>
            <w:r w:rsidRPr="00383906">
              <w:rPr>
                <w:sz w:val="24"/>
                <w:szCs w:val="24"/>
              </w:rPr>
              <w:t>Lopressor</w:t>
            </w:r>
            <w:proofErr w:type="spellEnd"/>
            <w:r w:rsidRPr="00383906">
              <w:rPr>
                <w:sz w:val="24"/>
                <w:szCs w:val="24"/>
              </w:rPr>
              <w:t>)</w:t>
            </w:r>
          </w:p>
        </w:tc>
        <w:tc>
          <w:tcPr>
            <w:tcW w:w="3192" w:type="dxa"/>
          </w:tcPr>
          <w:p w:rsidR="005745AE" w:rsidRPr="00383906" w:rsidRDefault="005745AE" w:rsidP="00040AAA">
            <w:pPr>
              <w:rPr>
                <w:sz w:val="24"/>
                <w:szCs w:val="24"/>
              </w:rPr>
            </w:pPr>
            <w:r w:rsidRPr="00383906">
              <w:rPr>
                <w:sz w:val="24"/>
                <w:szCs w:val="24"/>
              </w:rPr>
              <w:t>150mg</w:t>
            </w:r>
          </w:p>
        </w:tc>
        <w:tc>
          <w:tcPr>
            <w:tcW w:w="3192" w:type="dxa"/>
          </w:tcPr>
          <w:p w:rsidR="005745AE" w:rsidRPr="00383906" w:rsidRDefault="005745AE" w:rsidP="00040AAA">
            <w:pPr>
              <w:rPr>
                <w:sz w:val="24"/>
                <w:szCs w:val="24"/>
              </w:rPr>
            </w:pPr>
            <w:r w:rsidRPr="00383906">
              <w:rPr>
                <w:sz w:val="24"/>
                <w:szCs w:val="24"/>
              </w:rPr>
              <w:t>BID</w:t>
            </w:r>
          </w:p>
        </w:tc>
      </w:tr>
      <w:tr w:rsidR="005745AE" w:rsidRPr="00383906" w:rsidTr="00040AAA">
        <w:tc>
          <w:tcPr>
            <w:tcW w:w="3192" w:type="dxa"/>
          </w:tcPr>
          <w:p w:rsidR="005745AE" w:rsidRPr="00383906" w:rsidRDefault="005745AE" w:rsidP="00040AAA">
            <w:pPr>
              <w:rPr>
                <w:sz w:val="24"/>
                <w:szCs w:val="24"/>
              </w:rPr>
            </w:pPr>
            <w:proofErr w:type="spellStart"/>
            <w:r w:rsidRPr="00383906">
              <w:rPr>
                <w:sz w:val="24"/>
                <w:szCs w:val="24"/>
              </w:rPr>
              <w:t>amlodipine</w:t>
            </w:r>
            <w:proofErr w:type="spellEnd"/>
            <w:r w:rsidRPr="00383906">
              <w:rPr>
                <w:sz w:val="24"/>
                <w:szCs w:val="24"/>
              </w:rPr>
              <w:t xml:space="preserve"> (</w:t>
            </w:r>
            <w:proofErr w:type="spellStart"/>
            <w:r w:rsidRPr="00383906">
              <w:rPr>
                <w:sz w:val="24"/>
                <w:szCs w:val="24"/>
              </w:rPr>
              <w:t>Norvasc</w:t>
            </w:r>
            <w:proofErr w:type="spellEnd"/>
            <w:r w:rsidRPr="00383906">
              <w:rPr>
                <w:sz w:val="24"/>
                <w:szCs w:val="24"/>
              </w:rPr>
              <w:t>)</w:t>
            </w:r>
          </w:p>
        </w:tc>
        <w:tc>
          <w:tcPr>
            <w:tcW w:w="3192" w:type="dxa"/>
          </w:tcPr>
          <w:p w:rsidR="005745AE" w:rsidRPr="00383906" w:rsidRDefault="005745AE" w:rsidP="00040AAA">
            <w:pPr>
              <w:rPr>
                <w:sz w:val="24"/>
                <w:szCs w:val="24"/>
              </w:rPr>
            </w:pPr>
            <w:r w:rsidRPr="00383906">
              <w:rPr>
                <w:sz w:val="24"/>
                <w:szCs w:val="24"/>
              </w:rPr>
              <w:t>10 mg.</w:t>
            </w:r>
          </w:p>
        </w:tc>
        <w:tc>
          <w:tcPr>
            <w:tcW w:w="3192" w:type="dxa"/>
          </w:tcPr>
          <w:p w:rsidR="005745AE" w:rsidRPr="00383906" w:rsidRDefault="005745AE" w:rsidP="00040AAA">
            <w:pPr>
              <w:rPr>
                <w:sz w:val="24"/>
                <w:szCs w:val="24"/>
              </w:rPr>
            </w:pPr>
            <w:r w:rsidRPr="00383906">
              <w:rPr>
                <w:sz w:val="24"/>
                <w:szCs w:val="24"/>
              </w:rPr>
              <w:t>daily</w:t>
            </w:r>
          </w:p>
        </w:tc>
      </w:tr>
      <w:tr w:rsidR="005745AE" w:rsidRPr="00383906" w:rsidTr="00040AAA">
        <w:tc>
          <w:tcPr>
            <w:tcW w:w="3192" w:type="dxa"/>
          </w:tcPr>
          <w:p w:rsidR="005745AE" w:rsidRPr="00383906" w:rsidRDefault="005745AE" w:rsidP="00040AAA">
            <w:pPr>
              <w:rPr>
                <w:sz w:val="24"/>
                <w:szCs w:val="24"/>
              </w:rPr>
            </w:pPr>
            <w:proofErr w:type="spellStart"/>
            <w:r w:rsidRPr="00383906">
              <w:rPr>
                <w:sz w:val="24"/>
                <w:szCs w:val="24"/>
              </w:rPr>
              <w:t>clonidine</w:t>
            </w:r>
            <w:proofErr w:type="spellEnd"/>
            <w:r w:rsidRPr="00383906">
              <w:rPr>
                <w:sz w:val="24"/>
                <w:szCs w:val="24"/>
              </w:rPr>
              <w:t xml:space="preserve"> ( </w:t>
            </w:r>
            <w:proofErr w:type="spellStart"/>
            <w:r w:rsidRPr="00383906">
              <w:rPr>
                <w:sz w:val="24"/>
                <w:szCs w:val="24"/>
              </w:rPr>
              <w:t>Catapres</w:t>
            </w:r>
            <w:proofErr w:type="spellEnd"/>
            <w:r w:rsidRPr="00383906">
              <w:rPr>
                <w:sz w:val="24"/>
                <w:szCs w:val="24"/>
              </w:rPr>
              <w:t>)</w:t>
            </w:r>
          </w:p>
        </w:tc>
        <w:tc>
          <w:tcPr>
            <w:tcW w:w="3192" w:type="dxa"/>
          </w:tcPr>
          <w:p w:rsidR="005745AE" w:rsidRPr="00383906" w:rsidRDefault="005745AE" w:rsidP="00040AAA">
            <w:pPr>
              <w:rPr>
                <w:sz w:val="24"/>
                <w:szCs w:val="24"/>
              </w:rPr>
            </w:pPr>
            <w:r w:rsidRPr="00383906">
              <w:rPr>
                <w:sz w:val="24"/>
                <w:szCs w:val="24"/>
              </w:rPr>
              <w:t>0.1 mg</w:t>
            </w:r>
          </w:p>
        </w:tc>
        <w:tc>
          <w:tcPr>
            <w:tcW w:w="3192" w:type="dxa"/>
          </w:tcPr>
          <w:p w:rsidR="005745AE" w:rsidRPr="00383906" w:rsidRDefault="005745AE" w:rsidP="00040AAA">
            <w:pPr>
              <w:rPr>
                <w:sz w:val="24"/>
                <w:szCs w:val="24"/>
              </w:rPr>
            </w:pPr>
            <w:r w:rsidRPr="00383906">
              <w:rPr>
                <w:sz w:val="24"/>
                <w:szCs w:val="24"/>
              </w:rPr>
              <w:t>TID</w:t>
            </w:r>
          </w:p>
        </w:tc>
      </w:tr>
      <w:tr w:rsidR="005745AE" w:rsidRPr="00383906" w:rsidTr="00040AAA">
        <w:tc>
          <w:tcPr>
            <w:tcW w:w="3192" w:type="dxa"/>
          </w:tcPr>
          <w:p w:rsidR="005745AE" w:rsidRPr="00383906" w:rsidRDefault="005745AE" w:rsidP="00040AAA">
            <w:pPr>
              <w:rPr>
                <w:sz w:val="24"/>
                <w:szCs w:val="24"/>
              </w:rPr>
            </w:pPr>
            <w:proofErr w:type="spellStart"/>
            <w:r w:rsidRPr="00383906">
              <w:rPr>
                <w:sz w:val="24"/>
                <w:szCs w:val="24"/>
              </w:rPr>
              <w:t>chlorthalidone</w:t>
            </w:r>
            <w:proofErr w:type="spellEnd"/>
            <w:r w:rsidRPr="00383906">
              <w:rPr>
                <w:sz w:val="24"/>
                <w:szCs w:val="24"/>
              </w:rPr>
              <w:t xml:space="preserve"> (</w:t>
            </w:r>
            <w:proofErr w:type="spellStart"/>
            <w:r w:rsidRPr="00383906">
              <w:rPr>
                <w:sz w:val="24"/>
                <w:szCs w:val="24"/>
              </w:rPr>
              <w:t>Hygroton</w:t>
            </w:r>
            <w:proofErr w:type="spellEnd"/>
            <w:r w:rsidRPr="00383906">
              <w:rPr>
                <w:sz w:val="24"/>
                <w:szCs w:val="24"/>
              </w:rPr>
              <w:t xml:space="preserve">, </w:t>
            </w:r>
            <w:proofErr w:type="spellStart"/>
            <w:r w:rsidRPr="00383906">
              <w:rPr>
                <w:sz w:val="24"/>
                <w:szCs w:val="24"/>
              </w:rPr>
              <w:t>Thalitone</w:t>
            </w:r>
            <w:proofErr w:type="spellEnd"/>
            <w:r w:rsidRPr="00383906">
              <w:rPr>
                <w:sz w:val="24"/>
                <w:szCs w:val="24"/>
              </w:rPr>
              <w:t>)</w:t>
            </w:r>
          </w:p>
        </w:tc>
        <w:tc>
          <w:tcPr>
            <w:tcW w:w="3192" w:type="dxa"/>
          </w:tcPr>
          <w:p w:rsidR="005745AE" w:rsidRPr="00383906" w:rsidRDefault="005745AE" w:rsidP="00040AAA">
            <w:pPr>
              <w:rPr>
                <w:sz w:val="24"/>
                <w:szCs w:val="24"/>
              </w:rPr>
            </w:pPr>
            <w:r w:rsidRPr="00383906">
              <w:rPr>
                <w:sz w:val="24"/>
                <w:szCs w:val="24"/>
              </w:rPr>
              <w:t>25 mg.</w:t>
            </w:r>
          </w:p>
        </w:tc>
        <w:tc>
          <w:tcPr>
            <w:tcW w:w="3192" w:type="dxa"/>
          </w:tcPr>
          <w:p w:rsidR="005745AE" w:rsidRPr="00383906" w:rsidRDefault="005745AE" w:rsidP="00040AAA">
            <w:pPr>
              <w:rPr>
                <w:sz w:val="24"/>
                <w:szCs w:val="24"/>
              </w:rPr>
            </w:pPr>
            <w:r w:rsidRPr="00383906">
              <w:rPr>
                <w:sz w:val="24"/>
                <w:szCs w:val="24"/>
              </w:rPr>
              <w:t>daily</w:t>
            </w:r>
          </w:p>
        </w:tc>
      </w:tr>
      <w:tr w:rsidR="005745AE" w:rsidRPr="00383906" w:rsidTr="00040AAA">
        <w:tc>
          <w:tcPr>
            <w:tcW w:w="3192" w:type="dxa"/>
          </w:tcPr>
          <w:p w:rsidR="005745AE" w:rsidRPr="00383906" w:rsidRDefault="005745AE" w:rsidP="00040AAA">
            <w:pPr>
              <w:rPr>
                <w:sz w:val="24"/>
                <w:szCs w:val="24"/>
              </w:rPr>
            </w:pPr>
            <w:proofErr w:type="spellStart"/>
            <w:r w:rsidRPr="00383906">
              <w:rPr>
                <w:sz w:val="24"/>
                <w:szCs w:val="24"/>
              </w:rPr>
              <w:t>metformin</w:t>
            </w:r>
            <w:proofErr w:type="spellEnd"/>
            <w:r w:rsidRPr="00383906">
              <w:rPr>
                <w:sz w:val="24"/>
                <w:szCs w:val="24"/>
              </w:rPr>
              <w:t xml:space="preserve"> (</w:t>
            </w:r>
            <w:proofErr w:type="spellStart"/>
            <w:r w:rsidRPr="00383906">
              <w:rPr>
                <w:sz w:val="24"/>
                <w:szCs w:val="24"/>
              </w:rPr>
              <w:t>Glucaphage</w:t>
            </w:r>
            <w:proofErr w:type="spellEnd"/>
            <w:r w:rsidRPr="00383906">
              <w:rPr>
                <w:sz w:val="24"/>
                <w:szCs w:val="24"/>
              </w:rPr>
              <w:t>)</w:t>
            </w:r>
          </w:p>
        </w:tc>
        <w:tc>
          <w:tcPr>
            <w:tcW w:w="3192" w:type="dxa"/>
          </w:tcPr>
          <w:p w:rsidR="005745AE" w:rsidRPr="00383906" w:rsidRDefault="005745AE" w:rsidP="00040AAA">
            <w:pPr>
              <w:rPr>
                <w:sz w:val="24"/>
                <w:szCs w:val="24"/>
              </w:rPr>
            </w:pPr>
            <w:r w:rsidRPr="00383906">
              <w:rPr>
                <w:sz w:val="24"/>
                <w:szCs w:val="24"/>
              </w:rPr>
              <w:t>500 mg.</w:t>
            </w:r>
          </w:p>
        </w:tc>
        <w:tc>
          <w:tcPr>
            <w:tcW w:w="3192" w:type="dxa"/>
          </w:tcPr>
          <w:p w:rsidR="005745AE" w:rsidRPr="00383906" w:rsidRDefault="005745AE" w:rsidP="00040AAA">
            <w:pPr>
              <w:rPr>
                <w:sz w:val="24"/>
                <w:szCs w:val="24"/>
              </w:rPr>
            </w:pPr>
            <w:r w:rsidRPr="00383906">
              <w:rPr>
                <w:sz w:val="24"/>
                <w:szCs w:val="24"/>
              </w:rPr>
              <w:t>BID</w:t>
            </w:r>
          </w:p>
        </w:tc>
      </w:tr>
      <w:tr w:rsidR="005745AE" w:rsidRPr="00383906" w:rsidTr="00040AAA">
        <w:tc>
          <w:tcPr>
            <w:tcW w:w="3192" w:type="dxa"/>
          </w:tcPr>
          <w:p w:rsidR="005745AE" w:rsidRPr="00383906" w:rsidRDefault="005745AE" w:rsidP="00040AAA">
            <w:pPr>
              <w:rPr>
                <w:sz w:val="24"/>
                <w:szCs w:val="24"/>
              </w:rPr>
            </w:pPr>
            <w:proofErr w:type="spellStart"/>
            <w:r w:rsidRPr="00383906">
              <w:rPr>
                <w:sz w:val="24"/>
                <w:szCs w:val="24"/>
              </w:rPr>
              <w:t>simvastatin</w:t>
            </w:r>
            <w:proofErr w:type="spellEnd"/>
            <w:r w:rsidRPr="00383906">
              <w:rPr>
                <w:sz w:val="24"/>
                <w:szCs w:val="24"/>
              </w:rPr>
              <w:t xml:space="preserve"> (</w:t>
            </w:r>
            <w:proofErr w:type="spellStart"/>
            <w:r w:rsidRPr="00383906">
              <w:rPr>
                <w:sz w:val="24"/>
                <w:szCs w:val="24"/>
              </w:rPr>
              <w:t>Zocar</w:t>
            </w:r>
            <w:proofErr w:type="spellEnd"/>
            <w:r w:rsidRPr="00383906">
              <w:rPr>
                <w:sz w:val="24"/>
                <w:szCs w:val="24"/>
              </w:rPr>
              <w:t>)</w:t>
            </w:r>
          </w:p>
        </w:tc>
        <w:tc>
          <w:tcPr>
            <w:tcW w:w="3192" w:type="dxa"/>
          </w:tcPr>
          <w:p w:rsidR="005745AE" w:rsidRPr="00383906" w:rsidRDefault="005745AE" w:rsidP="00040AAA">
            <w:pPr>
              <w:rPr>
                <w:sz w:val="24"/>
                <w:szCs w:val="24"/>
              </w:rPr>
            </w:pPr>
            <w:r w:rsidRPr="00383906">
              <w:rPr>
                <w:sz w:val="24"/>
                <w:szCs w:val="24"/>
              </w:rPr>
              <w:t>40 mg</w:t>
            </w:r>
          </w:p>
        </w:tc>
        <w:tc>
          <w:tcPr>
            <w:tcW w:w="3192" w:type="dxa"/>
          </w:tcPr>
          <w:p w:rsidR="005745AE" w:rsidRPr="00383906" w:rsidRDefault="005745AE" w:rsidP="00040AAA">
            <w:pPr>
              <w:rPr>
                <w:sz w:val="24"/>
                <w:szCs w:val="24"/>
              </w:rPr>
            </w:pPr>
            <w:r w:rsidRPr="00383906">
              <w:rPr>
                <w:sz w:val="24"/>
                <w:szCs w:val="24"/>
              </w:rPr>
              <w:t>daily</w:t>
            </w:r>
          </w:p>
        </w:tc>
      </w:tr>
      <w:tr w:rsidR="005745AE" w:rsidRPr="00383906" w:rsidTr="00040AAA">
        <w:tc>
          <w:tcPr>
            <w:tcW w:w="3192" w:type="dxa"/>
          </w:tcPr>
          <w:p w:rsidR="005745AE" w:rsidRPr="00383906" w:rsidRDefault="005745AE" w:rsidP="00040AAA">
            <w:pPr>
              <w:rPr>
                <w:sz w:val="24"/>
                <w:szCs w:val="24"/>
              </w:rPr>
            </w:pPr>
            <w:proofErr w:type="spellStart"/>
            <w:r w:rsidRPr="00383906">
              <w:rPr>
                <w:sz w:val="24"/>
                <w:szCs w:val="24"/>
              </w:rPr>
              <w:t>glyburide</w:t>
            </w:r>
            <w:proofErr w:type="spellEnd"/>
            <w:r w:rsidRPr="00383906">
              <w:rPr>
                <w:sz w:val="24"/>
                <w:szCs w:val="24"/>
              </w:rPr>
              <w:t xml:space="preserve"> (</w:t>
            </w:r>
            <w:proofErr w:type="spellStart"/>
            <w:r w:rsidRPr="00383906">
              <w:rPr>
                <w:sz w:val="24"/>
                <w:szCs w:val="24"/>
              </w:rPr>
              <w:t>Micronase</w:t>
            </w:r>
            <w:proofErr w:type="spellEnd"/>
            <w:r w:rsidRPr="00383906">
              <w:rPr>
                <w:sz w:val="24"/>
                <w:szCs w:val="24"/>
              </w:rPr>
              <w:t>)</w:t>
            </w:r>
          </w:p>
        </w:tc>
        <w:tc>
          <w:tcPr>
            <w:tcW w:w="3192" w:type="dxa"/>
          </w:tcPr>
          <w:p w:rsidR="005745AE" w:rsidRPr="00383906" w:rsidRDefault="005745AE" w:rsidP="00040AAA">
            <w:pPr>
              <w:rPr>
                <w:sz w:val="24"/>
                <w:szCs w:val="24"/>
              </w:rPr>
            </w:pPr>
            <w:r w:rsidRPr="00383906">
              <w:rPr>
                <w:sz w:val="24"/>
                <w:szCs w:val="24"/>
              </w:rPr>
              <w:t>5mg</w:t>
            </w:r>
          </w:p>
        </w:tc>
        <w:tc>
          <w:tcPr>
            <w:tcW w:w="3192" w:type="dxa"/>
          </w:tcPr>
          <w:p w:rsidR="005745AE" w:rsidRPr="00383906" w:rsidRDefault="005745AE" w:rsidP="00040AAA">
            <w:pPr>
              <w:rPr>
                <w:sz w:val="24"/>
                <w:szCs w:val="24"/>
              </w:rPr>
            </w:pPr>
            <w:r w:rsidRPr="00383906">
              <w:rPr>
                <w:sz w:val="24"/>
                <w:szCs w:val="24"/>
              </w:rPr>
              <w:t>daily</w:t>
            </w:r>
          </w:p>
        </w:tc>
      </w:tr>
      <w:tr w:rsidR="005745AE" w:rsidRPr="00383906" w:rsidTr="00040AAA">
        <w:tc>
          <w:tcPr>
            <w:tcW w:w="3192" w:type="dxa"/>
          </w:tcPr>
          <w:p w:rsidR="005745AE" w:rsidRPr="00383906" w:rsidRDefault="005745AE" w:rsidP="00040AAA">
            <w:pPr>
              <w:rPr>
                <w:sz w:val="24"/>
                <w:szCs w:val="24"/>
              </w:rPr>
            </w:pPr>
            <w:r w:rsidRPr="00383906">
              <w:rPr>
                <w:sz w:val="24"/>
                <w:szCs w:val="24"/>
              </w:rPr>
              <w:t>acetaminophen (Tylenol)</w:t>
            </w:r>
          </w:p>
        </w:tc>
        <w:tc>
          <w:tcPr>
            <w:tcW w:w="3192" w:type="dxa"/>
          </w:tcPr>
          <w:p w:rsidR="005745AE" w:rsidRPr="00383906" w:rsidRDefault="005745AE" w:rsidP="00040AAA">
            <w:pPr>
              <w:rPr>
                <w:sz w:val="24"/>
                <w:szCs w:val="24"/>
              </w:rPr>
            </w:pPr>
          </w:p>
        </w:tc>
        <w:tc>
          <w:tcPr>
            <w:tcW w:w="3192" w:type="dxa"/>
          </w:tcPr>
          <w:p w:rsidR="005745AE" w:rsidRPr="00383906" w:rsidRDefault="005745AE" w:rsidP="00040AAA">
            <w:pPr>
              <w:rPr>
                <w:sz w:val="24"/>
                <w:szCs w:val="24"/>
              </w:rPr>
            </w:pPr>
            <w:r w:rsidRPr="00383906">
              <w:rPr>
                <w:sz w:val="24"/>
                <w:szCs w:val="24"/>
              </w:rPr>
              <w:t>As needed for mild pain</w:t>
            </w:r>
          </w:p>
        </w:tc>
      </w:tr>
      <w:tr w:rsidR="005745AE" w:rsidRPr="00383906" w:rsidTr="00040AAA">
        <w:tc>
          <w:tcPr>
            <w:tcW w:w="3192" w:type="dxa"/>
          </w:tcPr>
          <w:p w:rsidR="005745AE" w:rsidRPr="00383906" w:rsidRDefault="005745AE" w:rsidP="00040AAA">
            <w:pPr>
              <w:rPr>
                <w:sz w:val="24"/>
                <w:szCs w:val="24"/>
              </w:rPr>
            </w:pPr>
            <w:proofErr w:type="spellStart"/>
            <w:r w:rsidRPr="00383906">
              <w:rPr>
                <w:sz w:val="24"/>
                <w:szCs w:val="24"/>
              </w:rPr>
              <w:t>senna</w:t>
            </w:r>
            <w:proofErr w:type="spellEnd"/>
            <w:r w:rsidRPr="00383906">
              <w:rPr>
                <w:sz w:val="24"/>
                <w:szCs w:val="24"/>
              </w:rPr>
              <w:t xml:space="preserve"> (</w:t>
            </w:r>
            <w:proofErr w:type="spellStart"/>
            <w:r w:rsidRPr="00383906">
              <w:rPr>
                <w:sz w:val="24"/>
                <w:szCs w:val="24"/>
              </w:rPr>
              <w:t>Senna</w:t>
            </w:r>
            <w:proofErr w:type="spellEnd"/>
            <w:r w:rsidRPr="00383906">
              <w:rPr>
                <w:sz w:val="24"/>
                <w:szCs w:val="24"/>
              </w:rPr>
              <w:t>)</w:t>
            </w:r>
          </w:p>
        </w:tc>
        <w:tc>
          <w:tcPr>
            <w:tcW w:w="3192" w:type="dxa"/>
          </w:tcPr>
          <w:p w:rsidR="005745AE" w:rsidRPr="00383906" w:rsidRDefault="005745AE" w:rsidP="00040AAA">
            <w:pPr>
              <w:rPr>
                <w:sz w:val="24"/>
                <w:szCs w:val="24"/>
              </w:rPr>
            </w:pPr>
          </w:p>
        </w:tc>
        <w:tc>
          <w:tcPr>
            <w:tcW w:w="3192" w:type="dxa"/>
          </w:tcPr>
          <w:p w:rsidR="005745AE" w:rsidRPr="00383906" w:rsidRDefault="005745AE" w:rsidP="00040AAA">
            <w:pPr>
              <w:rPr>
                <w:sz w:val="24"/>
                <w:szCs w:val="24"/>
              </w:rPr>
            </w:pPr>
            <w:r w:rsidRPr="00383906">
              <w:rPr>
                <w:sz w:val="24"/>
                <w:szCs w:val="24"/>
              </w:rPr>
              <w:t>As needed for constipation</w:t>
            </w:r>
          </w:p>
        </w:tc>
      </w:tr>
      <w:tr w:rsidR="005745AE" w:rsidRPr="00383906" w:rsidTr="00040AAA">
        <w:tc>
          <w:tcPr>
            <w:tcW w:w="3192" w:type="dxa"/>
          </w:tcPr>
          <w:p w:rsidR="005745AE" w:rsidRPr="00383906" w:rsidRDefault="005745AE" w:rsidP="00040AAA">
            <w:pPr>
              <w:rPr>
                <w:sz w:val="24"/>
                <w:szCs w:val="24"/>
              </w:rPr>
            </w:pPr>
          </w:p>
        </w:tc>
        <w:tc>
          <w:tcPr>
            <w:tcW w:w="3192" w:type="dxa"/>
          </w:tcPr>
          <w:p w:rsidR="005745AE" w:rsidRPr="00383906" w:rsidRDefault="005745AE" w:rsidP="00040AAA">
            <w:pPr>
              <w:rPr>
                <w:sz w:val="24"/>
                <w:szCs w:val="24"/>
              </w:rPr>
            </w:pPr>
          </w:p>
        </w:tc>
        <w:tc>
          <w:tcPr>
            <w:tcW w:w="3192" w:type="dxa"/>
          </w:tcPr>
          <w:p w:rsidR="005745AE" w:rsidRPr="00383906" w:rsidRDefault="005745AE" w:rsidP="00040AAA">
            <w:pPr>
              <w:rPr>
                <w:sz w:val="24"/>
                <w:szCs w:val="24"/>
              </w:rPr>
            </w:pPr>
          </w:p>
        </w:tc>
      </w:tr>
    </w:tbl>
    <w:p w:rsidR="005745AE" w:rsidRPr="00383906" w:rsidRDefault="005745AE" w:rsidP="005745AE">
      <w:pPr>
        <w:rPr>
          <w:sz w:val="24"/>
          <w:szCs w:val="24"/>
        </w:rPr>
      </w:pPr>
      <w:r w:rsidRPr="00383906">
        <w:rPr>
          <w:sz w:val="24"/>
          <w:szCs w:val="24"/>
        </w:rPr>
        <w:t xml:space="preserve">, </w:t>
      </w:r>
    </w:p>
    <w:p w:rsidR="005745AE" w:rsidRPr="00383906" w:rsidRDefault="005745AE" w:rsidP="005745AE">
      <w:pPr>
        <w:overflowPunct/>
        <w:autoSpaceDE/>
        <w:autoSpaceDN/>
        <w:adjustRightInd/>
        <w:textAlignment w:val="auto"/>
        <w:rPr>
          <w:sz w:val="24"/>
          <w:szCs w:val="24"/>
        </w:rPr>
      </w:pPr>
    </w:p>
    <w:p w:rsidR="005745AE" w:rsidRPr="00383906" w:rsidRDefault="005745AE" w:rsidP="005745AE">
      <w:pPr>
        <w:widowControl w:val="0"/>
        <w:overflowPunct/>
        <w:autoSpaceDE/>
        <w:autoSpaceDN/>
        <w:adjustRightInd/>
        <w:spacing w:before="22" w:line="152" w:lineRule="exact"/>
        <w:ind w:right="83"/>
        <w:textAlignment w:val="auto"/>
        <w:rPr>
          <w:sz w:val="24"/>
          <w:szCs w:val="24"/>
        </w:rPr>
      </w:pPr>
    </w:p>
    <w:p w:rsidR="005745AE" w:rsidRPr="00383906" w:rsidRDefault="005745AE" w:rsidP="005745AE">
      <w:pPr>
        <w:widowControl w:val="0"/>
        <w:overflowPunct/>
        <w:autoSpaceDE/>
        <w:autoSpaceDN/>
        <w:adjustRightInd/>
        <w:spacing w:before="40"/>
        <w:ind w:left="7" w:right="-20"/>
        <w:textAlignment w:val="auto"/>
        <w:rPr>
          <w:sz w:val="24"/>
          <w:szCs w:val="24"/>
        </w:rPr>
      </w:pPr>
    </w:p>
    <w:p w:rsidR="005745AE" w:rsidRPr="00383906" w:rsidRDefault="005745AE" w:rsidP="005745AE">
      <w:pPr>
        <w:widowControl w:val="0"/>
        <w:overflowPunct/>
        <w:autoSpaceDE/>
        <w:autoSpaceDN/>
        <w:adjustRightInd/>
        <w:spacing w:before="40"/>
        <w:ind w:left="7" w:right="-20"/>
        <w:textAlignment w:val="auto"/>
        <w:rPr>
          <w:sz w:val="24"/>
          <w:szCs w:val="24"/>
        </w:rPr>
      </w:pPr>
    </w:p>
    <w:p w:rsidR="005745AE" w:rsidRPr="00383906" w:rsidRDefault="005745AE" w:rsidP="005745AE">
      <w:pPr>
        <w:widowControl w:val="0"/>
        <w:overflowPunct/>
        <w:autoSpaceDE/>
        <w:autoSpaceDN/>
        <w:adjustRightInd/>
        <w:spacing w:before="40"/>
        <w:ind w:left="7" w:right="-20"/>
        <w:textAlignment w:val="auto"/>
        <w:rPr>
          <w:sz w:val="24"/>
          <w:szCs w:val="24"/>
        </w:rPr>
      </w:pPr>
    </w:p>
    <w:p w:rsidR="005745AE" w:rsidRPr="00383906" w:rsidRDefault="005745AE" w:rsidP="005745AE">
      <w:pPr>
        <w:rPr>
          <w:b/>
          <w:sz w:val="24"/>
          <w:szCs w:val="24"/>
        </w:rPr>
      </w:pPr>
      <w:r w:rsidRPr="00383906">
        <w:rPr>
          <w:sz w:val="24"/>
          <w:szCs w:val="24"/>
        </w:rPr>
        <w:br w:type="page"/>
      </w:r>
      <w:r w:rsidRPr="00383906">
        <w:rPr>
          <w:b/>
          <w:sz w:val="24"/>
          <w:szCs w:val="24"/>
        </w:rPr>
        <w:lastRenderedPageBreak/>
        <w:t xml:space="preserve">Date_________        Market </w:t>
      </w:r>
      <w:proofErr w:type="spellStart"/>
      <w:r w:rsidRPr="00383906">
        <w:rPr>
          <w:b/>
          <w:sz w:val="24"/>
          <w:szCs w:val="24"/>
        </w:rPr>
        <w:t>members__________________Discipline</w:t>
      </w:r>
      <w:proofErr w:type="spellEnd"/>
      <w:r w:rsidRPr="00383906">
        <w:rPr>
          <w:b/>
          <w:sz w:val="24"/>
          <w:szCs w:val="24"/>
        </w:rPr>
        <w:t>_______________</w:t>
      </w:r>
    </w:p>
    <w:p w:rsidR="005745AE" w:rsidRPr="00383906" w:rsidRDefault="005745AE" w:rsidP="005745AE">
      <w:pPr>
        <w:rPr>
          <w:b/>
          <w:sz w:val="24"/>
          <w:szCs w:val="24"/>
        </w:rPr>
      </w:pPr>
    </w:p>
    <w:p w:rsidR="005745AE" w:rsidRPr="00383906" w:rsidRDefault="005745AE" w:rsidP="005745AE">
      <w:pPr>
        <w:rPr>
          <w:b/>
          <w:sz w:val="24"/>
          <w:szCs w:val="24"/>
          <w:u w:val="single"/>
        </w:rPr>
      </w:pPr>
      <w:r w:rsidRPr="00383906">
        <w:rPr>
          <w:b/>
          <w:sz w:val="24"/>
          <w:szCs w:val="24"/>
          <w:u w:val="single"/>
        </w:rPr>
        <w:t xml:space="preserve">Application of principles of </w:t>
      </w:r>
      <w:proofErr w:type="spellStart"/>
      <w:r w:rsidRPr="00383906">
        <w:rPr>
          <w:b/>
          <w:sz w:val="24"/>
          <w:szCs w:val="24"/>
          <w:u w:val="single"/>
        </w:rPr>
        <w:t>Gerontologic</w:t>
      </w:r>
      <w:proofErr w:type="spellEnd"/>
      <w:r w:rsidRPr="00383906">
        <w:rPr>
          <w:b/>
          <w:sz w:val="24"/>
          <w:szCs w:val="24"/>
          <w:u w:val="single"/>
        </w:rPr>
        <w:t xml:space="preserve"> pharmacology and Beer Criteria</w:t>
      </w:r>
    </w:p>
    <w:p w:rsidR="005745AE" w:rsidRPr="00383906" w:rsidRDefault="005745AE" w:rsidP="005745AE">
      <w:pPr>
        <w:rPr>
          <w:b/>
          <w:sz w:val="24"/>
          <w:szCs w:val="24"/>
          <w:u w:val="single"/>
        </w:rPr>
      </w:pPr>
      <w:proofErr w:type="gramStart"/>
      <w:r w:rsidRPr="00383906">
        <w:rPr>
          <w:b/>
          <w:sz w:val="24"/>
          <w:szCs w:val="24"/>
          <w:u w:val="single"/>
        </w:rPr>
        <w:t>Identify  medications</w:t>
      </w:r>
      <w:proofErr w:type="gramEnd"/>
      <w:r w:rsidRPr="00383906">
        <w:rPr>
          <w:b/>
          <w:sz w:val="24"/>
          <w:szCs w:val="24"/>
          <w:u w:val="single"/>
        </w:rPr>
        <w:t xml:space="preserve"> are listed on the Beers Criteria, rationale and application in practice </w:t>
      </w:r>
    </w:p>
    <w:p w:rsidR="005745AE" w:rsidRPr="00383906" w:rsidRDefault="005745AE" w:rsidP="005745AE">
      <w:pPr>
        <w:rPr>
          <w:b/>
          <w:sz w:val="24"/>
          <w:szCs w:val="24"/>
        </w:rPr>
      </w:pPr>
      <w:r w:rsidRPr="00383906">
        <w:rPr>
          <w:sz w:val="24"/>
          <w:szCs w:val="24"/>
        </w:rPr>
        <w:t xml:space="preserve">Table </w:t>
      </w:r>
      <w:r>
        <w:rPr>
          <w:sz w:val="24"/>
          <w:szCs w:val="24"/>
        </w:rPr>
        <w:t>A.</w:t>
      </w:r>
    </w:p>
    <w:tbl>
      <w:tblPr>
        <w:tblStyle w:val="TableGrid"/>
        <w:tblW w:w="0" w:type="auto"/>
        <w:tblLook w:val="04A0"/>
      </w:tblPr>
      <w:tblGrid>
        <w:gridCol w:w="1998"/>
        <w:gridCol w:w="3330"/>
        <w:gridCol w:w="4248"/>
      </w:tblGrid>
      <w:tr w:rsidR="005745AE" w:rsidRPr="00383906" w:rsidTr="00040AAA">
        <w:tc>
          <w:tcPr>
            <w:tcW w:w="1998" w:type="dxa"/>
          </w:tcPr>
          <w:p w:rsidR="005745AE" w:rsidRPr="00383906" w:rsidRDefault="005745AE" w:rsidP="00040AAA">
            <w:pPr>
              <w:rPr>
                <w:b/>
                <w:sz w:val="24"/>
                <w:szCs w:val="24"/>
              </w:rPr>
            </w:pPr>
            <w:r w:rsidRPr="00383906">
              <w:rPr>
                <w:b/>
                <w:sz w:val="24"/>
                <w:szCs w:val="24"/>
              </w:rPr>
              <w:t>Medications</w:t>
            </w:r>
          </w:p>
        </w:tc>
        <w:tc>
          <w:tcPr>
            <w:tcW w:w="3330" w:type="dxa"/>
          </w:tcPr>
          <w:p w:rsidR="005745AE" w:rsidRPr="00383906" w:rsidRDefault="005745AE" w:rsidP="00040AAA">
            <w:pPr>
              <w:rPr>
                <w:b/>
                <w:sz w:val="24"/>
                <w:szCs w:val="24"/>
              </w:rPr>
            </w:pPr>
            <w:r w:rsidRPr="00383906">
              <w:rPr>
                <w:b/>
                <w:sz w:val="24"/>
                <w:szCs w:val="24"/>
              </w:rPr>
              <w:t>Beers Criteria-Rational</w:t>
            </w:r>
          </w:p>
        </w:tc>
        <w:tc>
          <w:tcPr>
            <w:tcW w:w="4248" w:type="dxa"/>
          </w:tcPr>
          <w:p w:rsidR="005745AE" w:rsidRPr="00383906" w:rsidRDefault="005745AE" w:rsidP="00040AAA">
            <w:pPr>
              <w:rPr>
                <w:b/>
                <w:sz w:val="24"/>
                <w:szCs w:val="24"/>
              </w:rPr>
            </w:pPr>
            <w:r w:rsidRPr="00383906">
              <w:rPr>
                <w:b/>
                <w:sz w:val="24"/>
                <w:szCs w:val="24"/>
              </w:rPr>
              <w:t>Application in practice</w:t>
            </w:r>
          </w:p>
        </w:tc>
      </w:tr>
      <w:tr w:rsidR="005745AE" w:rsidRPr="00383906" w:rsidTr="00040AAA">
        <w:tc>
          <w:tcPr>
            <w:tcW w:w="1998" w:type="dxa"/>
          </w:tcPr>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tc>
        <w:tc>
          <w:tcPr>
            <w:tcW w:w="3330" w:type="dxa"/>
          </w:tcPr>
          <w:p w:rsidR="005745AE" w:rsidRPr="00383906" w:rsidRDefault="005745AE" w:rsidP="00040AAA">
            <w:pPr>
              <w:rPr>
                <w:sz w:val="24"/>
                <w:szCs w:val="24"/>
              </w:rPr>
            </w:pPr>
          </w:p>
        </w:tc>
        <w:tc>
          <w:tcPr>
            <w:tcW w:w="4248" w:type="dxa"/>
          </w:tcPr>
          <w:p w:rsidR="005745AE" w:rsidRPr="00383906" w:rsidRDefault="005745AE" w:rsidP="00040AAA">
            <w:pPr>
              <w:rPr>
                <w:sz w:val="24"/>
                <w:szCs w:val="24"/>
              </w:rPr>
            </w:pPr>
          </w:p>
        </w:tc>
      </w:tr>
      <w:tr w:rsidR="005745AE" w:rsidRPr="00383906" w:rsidTr="00040AAA">
        <w:tc>
          <w:tcPr>
            <w:tcW w:w="1998" w:type="dxa"/>
          </w:tcPr>
          <w:p w:rsidR="005745AE" w:rsidRPr="00383906" w:rsidRDefault="005745AE" w:rsidP="00040AAA">
            <w:pPr>
              <w:rPr>
                <w:sz w:val="24"/>
                <w:szCs w:val="24"/>
              </w:rPr>
            </w:pPr>
            <w:r w:rsidRPr="00383906">
              <w:rPr>
                <w:sz w:val="24"/>
                <w:szCs w:val="24"/>
              </w:rPr>
              <w:t xml:space="preserve"> </w:t>
            </w: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tc>
        <w:tc>
          <w:tcPr>
            <w:tcW w:w="3330" w:type="dxa"/>
          </w:tcPr>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tc>
        <w:tc>
          <w:tcPr>
            <w:tcW w:w="4248" w:type="dxa"/>
          </w:tcPr>
          <w:p w:rsidR="005745AE" w:rsidRPr="00383906" w:rsidRDefault="005745AE" w:rsidP="00040AAA">
            <w:pPr>
              <w:rPr>
                <w:sz w:val="24"/>
                <w:szCs w:val="24"/>
              </w:rPr>
            </w:pPr>
          </w:p>
        </w:tc>
      </w:tr>
      <w:tr w:rsidR="005745AE" w:rsidRPr="00383906" w:rsidTr="00040AAA">
        <w:tc>
          <w:tcPr>
            <w:tcW w:w="1998" w:type="dxa"/>
          </w:tcPr>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tc>
        <w:tc>
          <w:tcPr>
            <w:tcW w:w="3330" w:type="dxa"/>
          </w:tcPr>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tc>
        <w:tc>
          <w:tcPr>
            <w:tcW w:w="4248" w:type="dxa"/>
          </w:tcPr>
          <w:p w:rsidR="005745AE" w:rsidRPr="00383906" w:rsidRDefault="005745AE" w:rsidP="00040AAA">
            <w:pPr>
              <w:rPr>
                <w:sz w:val="24"/>
                <w:szCs w:val="24"/>
              </w:rPr>
            </w:pPr>
          </w:p>
        </w:tc>
      </w:tr>
      <w:tr w:rsidR="005745AE" w:rsidRPr="00383906" w:rsidTr="00040AAA">
        <w:tc>
          <w:tcPr>
            <w:tcW w:w="1998" w:type="dxa"/>
          </w:tcPr>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tc>
        <w:tc>
          <w:tcPr>
            <w:tcW w:w="3330" w:type="dxa"/>
          </w:tcPr>
          <w:p w:rsidR="005745AE" w:rsidRPr="00383906" w:rsidRDefault="005745AE" w:rsidP="00040AAA">
            <w:pPr>
              <w:rPr>
                <w:sz w:val="24"/>
                <w:szCs w:val="24"/>
              </w:rPr>
            </w:pPr>
            <w:r w:rsidRPr="00383906">
              <w:rPr>
                <w:sz w:val="24"/>
                <w:szCs w:val="24"/>
              </w:rPr>
              <w:t xml:space="preserve">. </w:t>
            </w:r>
          </w:p>
          <w:p w:rsidR="005745AE" w:rsidRPr="00383906" w:rsidRDefault="005745AE" w:rsidP="00040AAA">
            <w:pPr>
              <w:rPr>
                <w:sz w:val="24"/>
                <w:szCs w:val="24"/>
              </w:rPr>
            </w:pPr>
          </w:p>
          <w:p w:rsidR="005745AE" w:rsidRPr="00383906" w:rsidRDefault="005745AE" w:rsidP="00040AAA">
            <w:pPr>
              <w:rPr>
                <w:sz w:val="24"/>
                <w:szCs w:val="24"/>
              </w:rPr>
            </w:pPr>
          </w:p>
        </w:tc>
        <w:tc>
          <w:tcPr>
            <w:tcW w:w="4248" w:type="dxa"/>
          </w:tcPr>
          <w:p w:rsidR="005745AE" w:rsidRPr="00383906" w:rsidRDefault="005745AE" w:rsidP="00040AAA">
            <w:pPr>
              <w:rPr>
                <w:sz w:val="24"/>
                <w:szCs w:val="24"/>
              </w:rPr>
            </w:pPr>
          </w:p>
        </w:tc>
      </w:tr>
      <w:tr w:rsidR="005745AE" w:rsidRPr="00383906" w:rsidTr="00040AAA">
        <w:tc>
          <w:tcPr>
            <w:tcW w:w="1998" w:type="dxa"/>
          </w:tcPr>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tc>
        <w:tc>
          <w:tcPr>
            <w:tcW w:w="3330" w:type="dxa"/>
          </w:tcPr>
          <w:p w:rsidR="005745AE" w:rsidRPr="00383906" w:rsidRDefault="005745AE" w:rsidP="00040AAA">
            <w:pPr>
              <w:rPr>
                <w:sz w:val="24"/>
                <w:szCs w:val="24"/>
              </w:rPr>
            </w:pPr>
          </w:p>
        </w:tc>
        <w:tc>
          <w:tcPr>
            <w:tcW w:w="4248" w:type="dxa"/>
          </w:tcPr>
          <w:p w:rsidR="005745AE" w:rsidRPr="00383906" w:rsidRDefault="005745AE" w:rsidP="00040AAA">
            <w:pPr>
              <w:rPr>
                <w:sz w:val="24"/>
                <w:szCs w:val="24"/>
              </w:rPr>
            </w:pPr>
          </w:p>
        </w:tc>
      </w:tr>
      <w:tr w:rsidR="005745AE" w:rsidRPr="00383906" w:rsidTr="00040AAA">
        <w:tc>
          <w:tcPr>
            <w:tcW w:w="1998" w:type="dxa"/>
          </w:tcPr>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tc>
        <w:tc>
          <w:tcPr>
            <w:tcW w:w="3330" w:type="dxa"/>
          </w:tcPr>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tc>
        <w:tc>
          <w:tcPr>
            <w:tcW w:w="4248" w:type="dxa"/>
          </w:tcPr>
          <w:p w:rsidR="005745AE" w:rsidRPr="00383906" w:rsidRDefault="005745AE" w:rsidP="00040AAA">
            <w:pPr>
              <w:rPr>
                <w:sz w:val="24"/>
                <w:szCs w:val="24"/>
              </w:rPr>
            </w:pPr>
          </w:p>
        </w:tc>
      </w:tr>
      <w:tr w:rsidR="005745AE" w:rsidRPr="00383906" w:rsidTr="00040AAA">
        <w:tc>
          <w:tcPr>
            <w:tcW w:w="1998" w:type="dxa"/>
          </w:tcPr>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tc>
        <w:tc>
          <w:tcPr>
            <w:tcW w:w="3330" w:type="dxa"/>
          </w:tcPr>
          <w:p w:rsidR="005745AE" w:rsidRPr="00383906" w:rsidRDefault="005745AE" w:rsidP="00040AAA">
            <w:pPr>
              <w:rPr>
                <w:sz w:val="24"/>
                <w:szCs w:val="24"/>
              </w:rPr>
            </w:pPr>
          </w:p>
          <w:p w:rsidR="005745AE" w:rsidRPr="00383906" w:rsidRDefault="005745AE" w:rsidP="00040AAA">
            <w:pPr>
              <w:rPr>
                <w:sz w:val="24"/>
                <w:szCs w:val="24"/>
              </w:rPr>
            </w:pPr>
          </w:p>
          <w:p w:rsidR="005745AE" w:rsidRPr="00383906" w:rsidRDefault="005745AE" w:rsidP="00040AAA">
            <w:pPr>
              <w:rPr>
                <w:sz w:val="24"/>
                <w:szCs w:val="24"/>
              </w:rPr>
            </w:pPr>
          </w:p>
        </w:tc>
        <w:tc>
          <w:tcPr>
            <w:tcW w:w="4248" w:type="dxa"/>
          </w:tcPr>
          <w:p w:rsidR="005745AE" w:rsidRPr="00383906" w:rsidRDefault="005745AE" w:rsidP="00040AAA">
            <w:pPr>
              <w:rPr>
                <w:sz w:val="24"/>
                <w:szCs w:val="24"/>
              </w:rPr>
            </w:pPr>
          </w:p>
        </w:tc>
      </w:tr>
    </w:tbl>
    <w:p w:rsidR="005745AE" w:rsidRPr="00383906" w:rsidRDefault="005745AE" w:rsidP="005745AE">
      <w:pPr>
        <w:rPr>
          <w:sz w:val="24"/>
          <w:szCs w:val="24"/>
        </w:rPr>
      </w:pPr>
      <w:r w:rsidRPr="00383906">
        <w:rPr>
          <w:sz w:val="24"/>
          <w:szCs w:val="24"/>
        </w:rPr>
        <w:t xml:space="preserve">** </w:t>
      </w:r>
      <w:proofErr w:type="gramStart"/>
      <w:r w:rsidRPr="00383906">
        <w:rPr>
          <w:sz w:val="24"/>
          <w:szCs w:val="24"/>
        </w:rPr>
        <w:t>the</w:t>
      </w:r>
      <w:proofErr w:type="gramEnd"/>
      <w:r w:rsidRPr="00383906">
        <w:rPr>
          <w:sz w:val="24"/>
          <w:szCs w:val="24"/>
        </w:rPr>
        <w:t xml:space="preserve"> decision  for individuals at risk for complications remains controversial.  The decision to discontinue anticoagulation therapy needs to be individualized for each patient by evaluating fall risk and risk of stroke.</w:t>
      </w:r>
    </w:p>
    <w:p w:rsidR="005745AE" w:rsidRPr="00383906" w:rsidRDefault="005745AE" w:rsidP="005745AE">
      <w:pPr>
        <w:rPr>
          <w:sz w:val="24"/>
          <w:szCs w:val="24"/>
        </w:rPr>
      </w:pPr>
      <w:r w:rsidRPr="00383906">
        <w:rPr>
          <w:sz w:val="24"/>
          <w:szCs w:val="24"/>
        </w:rPr>
        <w:t>(Permission granted by authors and publisher for educational use)</w:t>
      </w:r>
    </w:p>
    <w:p w:rsidR="005745AE" w:rsidRPr="00383906" w:rsidRDefault="005745AE" w:rsidP="005745AE">
      <w:pPr>
        <w:widowControl w:val="0"/>
        <w:overflowPunct/>
        <w:autoSpaceDE/>
        <w:autoSpaceDN/>
        <w:adjustRightInd/>
        <w:spacing w:before="40"/>
        <w:ind w:left="7" w:right="-20"/>
        <w:textAlignment w:val="auto"/>
        <w:rPr>
          <w:sz w:val="24"/>
          <w:szCs w:val="24"/>
        </w:rPr>
      </w:pPr>
    </w:p>
    <w:p w:rsidR="005745AE" w:rsidRPr="00383906" w:rsidRDefault="005745AE" w:rsidP="005745AE">
      <w:pPr>
        <w:rPr>
          <w:sz w:val="24"/>
          <w:szCs w:val="24"/>
        </w:rPr>
      </w:pPr>
      <w:r w:rsidRPr="00383906">
        <w:rPr>
          <w:sz w:val="24"/>
          <w:szCs w:val="24"/>
        </w:rPr>
        <w:lastRenderedPageBreak/>
        <w:t xml:space="preserve">Application of principles of </w:t>
      </w:r>
      <w:proofErr w:type="spellStart"/>
      <w:r w:rsidRPr="00383906">
        <w:rPr>
          <w:sz w:val="24"/>
          <w:szCs w:val="24"/>
        </w:rPr>
        <w:t>Gerontologic</w:t>
      </w:r>
      <w:proofErr w:type="spellEnd"/>
      <w:r w:rsidRPr="00383906">
        <w:rPr>
          <w:sz w:val="24"/>
          <w:szCs w:val="24"/>
        </w:rPr>
        <w:t xml:space="preserve"> pharmacology and Beer Criteria</w:t>
      </w:r>
    </w:p>
    <w:p w:rsidR="005745AE" w:rsidRPr="00383906" w:rsidRDefault="005745AE" w:rsidP="005745AE">
      <w:pPr>
        <w:rPr>
          <w:b/>
          <w:sz w:val="24"/>
          <w:szCs w:val="24"/>
        </w:rPr>
      </w:pPr>
      <w:r w:rsidRPr="00383906">
        <w:rPr>
          <w:sz w:val="24"/>
          <w:szCs w:val="24"/>
        </w:rPr>
        <w:t>Table</w:t>
      </w:r>
      <w:r>
        <w:rPr>
          <w:sz w:val="24"/>
          <w:szCs w:val="24"/>
        </w:rPr>
        <w:t xml:space="preserve"> B</w:t>
      </w:r>
    </w:p>
    <w:tbl>
      <w:tblPr>
        <w:tblStyle w:val="TableGrid"/>
        <w:tblW w:w="0" w:type="auto"/>
        <w:tblLook w:val="04A0"/>
      </w:tblPr>
      <w:tblGrid>
        <w:gridCol w:w="1998"/>
        <w:gridCol w:w="3330"/>
        <w:gridCol w:w="4248"/>
      </w:tblGrid>
      <w:tr w:rsidR="005745AE" w:rsidRPr="00383906" w:rsidTr="00040AAA">
        <w:tc>
          <w:tcPr>
            <w:tcW w:w="1998" w:type="dxa"/>
          </w:tcPr>
          <w:p w:rsidR="005745AE" w:rsidRPr="00383906" w:rsidRDefault="005745AE" w:rsidP="00040AAA">
            <w:pPr>
              <w:rPr>
                <w:b/>
                <w:sz w:val="24"/>
                <w:szCs w:val="24"/>
              </w:rPr>
            </w:pPr>
            <w:r w:rsidRPr="00383906">
              <w:rPr>
                <w:b/>
                <w:sz w:val="24"/>
                <w:szCs w:val="24"/>
              </w:rPr>
              <w:t>Medications</w:t>
            </w:r>
          </w:p>
        </w:tc>
        <w:tc>
          <w:tcPr>
            <w:tcW w:w="3330" w:type="dxa"/>
          </w:tcPr>
          <w:p w:rsidR="005745AE" w:rsidRPr="00383906" w:rsidRDefault="005745AE" w:rsidP="00040AAA">
            <w:pPr>
              <w:rPr>
                <w:b/>
                <w:sz w:val="24"/>
                <w:szCs w:val="24"/>
              </w:rPr>
            </w:pPr>
            <w:r w:rsidRPr="00383906">
              <w:rPr>
                <w:b/>
                <w:sz w:val="24"/>
                <w:szCs w:val="24"/>
              </w:rPr>
              <w:t>Beers Criteria</w:t>
            </w:r>
          </w:p>
        </w:tc>
        <w:tc>
          <w:tcPr>
            <w:tcW w:w="4248" w:type="dxa"/>
          </w:tcPr>
          <w:p w:rsidR="005745AE" w:rsidRPr="00383906" w:rsidRDefault="005745AE" w:rsidP="00040AAA">
            <w:pPr>
              <w:rPr>
                <w:b/>
                <w:sz w:val="24"/>
                <w:szCs w:val="24"/>
              </w:rPr>
            </w:pPr>
            <w:r w:rsidRPr="00383906">
              <w:rPr>
                <w:b/>
                <w:sz w:val="24"/>
                <w:szCs w:val="24"/>
              </w:rPr>
              <w:t>Application in practice</w:t>
            </w:r>
          </w:p>
        </w:tc>
      </w:tr>
      <w:tr w:rsidR="005745AE" w:rsidRPr="00383906" w:rsidTr="00040AAA">
        <w:tc>
          <w:tcPr>
            <w:tcW w:w="1998" w:type="dxa"/>
          </w:tcPr>
          <w:p w:rsidR="005745AE" w:rsidRPr="00383906" w:rsidRDefault="005745AE" w:rsidP="00040AAA">
            <w:pPr>
              <w:rPr>
                <w:sz w:val="24"/>
                <w:szCs w:val="24"/>
              </w:rPr>
            </w:pPr>
            <w:proofErr w:type="spellStart"/>
            <w:r w:rsidRPr="00383906">
              <w:rPr>
                <w:sz w:val="24"/>
                <w:szCs w:val="24"/>
              </w:rPr>
              <w:t>Warfarin</w:t>
            </w:r>
            <w:proofErr w:type="spellEnd"/>
          </w:p>
          <w:p w:rsidR="005745AE" w:rsidRPr="00383906" w:rsidRDefault="005745AE" w:rsidP="00040AAA">
            <w:pPr>
              <w:rPr>
                <w:sz w:val="24"/>
                <w:szCs w:val="24"/>
              </w:rPr>
            </w:pPr>
            <w:r w:rsidRPr="00383906">
              <w:rPr>
                <w:sz w:val="24"/>
                <w:szCs w:val="24"/>
              </w:rPr>
              <w:t>( Coumadin)</w:t>
            </w:r>
          </w:p>
        </w:tc>
        <w:tc>
          <w:tcPr>
            <w:tcW w:w="3330" w:type="dxa"/>
          </w:tcPr>
          <w:p w:rsidR="005745AE" w:rsidRPr="00383906" w:rsidRDefault="005745AE" w:rsidP="00040AAA">
            <w:pPr>
              <w:rPr>
                <w:sz w:val="24"/>
                <w:szCs w:val="24"/>
              </w:rPr>
            </w:pPr>
            <w:r w:rsidRPr="00383906">
              <w:rPr>
                <w:sz w:val="24"/>
                <w:szCs w:val="24"/>
              </w:rPr>
              <w:t>Use cautiously in older adults or unwilling to comply with laboratory blood draws or at risk for falls</w:t>
            </w:r>
          </w:p>
        </w:tc>
        <w:tc>
          <w:tcPr>
            <w:tcW w:w="4248" w:type="dxa"/>
          </w:tcPr>
          <w:p w:rsidR="005745AE" w:rsidRPr="00383906" w:rsidRDefault="005745AE" w:rsidP="00040AAA">
            <w:pPr>
              <w:rPr>
                <w:sz w:val="24"/>
                <w:szCs w:val="24"/>
              </w:rPr>
            </w:pPr>
            <w:r w:rsidRPr="00383906">
              <w:rPr>
                <w:sz w:val="24"/>
                <w:szCs w:val="24"/>
              </w:rPr>
              <w:t xml:space="preserve">Fred’s calculate GFR is 60.1 ml/mint. Per Cockcroft formula. Continue </w:t>
            </w:r>
            <w:proofErr w:type="spellStart"/>
            <w:r w:rsidRPr="00383906">
              <w:rPr>
                <w:sz w:val="24"/>
                <w:szCs w:val="24"/>
              </w:rPr>
              <w:t>Metformin</w:t>
            </w:r>
            <w:proofErr w:type="spellEnd"/>
            <w:r w:rsidRPr="00383906">
              <w:rPr>
                <w:sz w:val="24"/>
                <w:szCs w:val="24"/>
              </w:rPr>
              <w:t xml:space="preserve"> 500 twice a day.  Will monitor closely </w:t>
            </w:r>
            <w:proofErr w:type="spellStart"/>
            <w:r w:rsidRPr="00383906">
              <w:rPr>
                <w:sz w:val="24"/>
                <w:szCs w:val="24"/>
              </w:rPr>
              <w:t>creatinine</w:t>
            </w:r>
            <w:proofErr w:type="spellEnd"/>
            <w:r w:rsidRPr="00383906">
              <w:rPr>
                <w:sz w:val="24"/>
                <w:szCs w:val="24"/>
              </w:rPr>
              <w:t xml:space="preserve"> clearance.</w:t>
            </w:r>
          </w:p>
        </w:tc>
      </w:tr>
      <w:tr w:rsidR="005745AE" w:rsidRPr="00383906" w:rsidTr="00040AAA">
        <w:tc>
          <w:tcPr>
            <w:tcW w:w="1998" w:type="dxa"/>
          </w:tcPr>
          <w:p w:rsidR="005745AE" w:rsidRPr="00383906" w:rsidRDefault="005745AE" w:rsidP="00040AAA">
            <w:pPr>
              <w:rPr>
                <w:sz w:val="24"/>
                <w:szCs w:val="24"/>
              </w:rPr>
            </w:pPr>
            <w:r w:rsidRPr="00383906">
              <w:rPr>
                <w:sz w:val="24"/>
                <w:szCs w:val="24"/>
              </w:rPr>
              <w:t xml:space="preserve"> </w:t>
            </w:r>
            <w:proofErr w:type="spellStart"/>
            <w:r w:rsidRPr="00383906">
              <w:rPr>
                <w:sz w:val="24"/>
                <w:szCs w:val="24"/>
              </w:rPr>
              <w:t>clonidine</w:t>
            </w:r>
            <w:proofErr w:type="spellEnd"/>
          </w:p>
          <w:p w:rsidR="005745AE" w:rsidRPr="00383906" w:rsidRDefault="005745AE" w:rsidP="00040AAA">
            <w:pPr>
              <w:rPr>
                <w:sz w:val="24"/>
                <w:szCs w:val="24"/>
              </w:rPr>
            </w:pPr>
            <w:r w:rsidRPr="00383906">
              <w:rPr>
                <w:sz w:val="24"/>
                <w:szCs w:val="24"/>
              </w:rPr>
              <w:t>(</w:t>
            </w:r>
            <w:proofErr w:type="spellStart"/>
            <w:r w:rsidRPr="00383906">
              <w:rPr>
                <w:sz w:val="24"/>
                <w:szCs w:val="24"/>
              </w:rPr>
              <w:t>Catapres</w:t>
            </w:r>
            <w:proofErr w:type="spellEnd"/>
            <w:r w:rsidRPr="00383906">
              <w:rPr>
                <w:sz w:val="24"/>
                <w:szCs w:val="24"/>
              </w:rPr>
              <w:t>)</w:t>
            </w:r>
          </w:p>
        </w:tc>
        <w:tc>
          <w:tcPr>
            <w:tcW w:w="3330" w:type="dxa"/>
          </w:tcPr>
          <w:p w:rsidR="005745AE" w:rsidRPr="00383906" w:rsidRDefault="005745AE" w:rsidP="00040AAA">
            <w:pPr>
              <w:rPr>
                <w:sz w:val="24"/>
                <w:szCs w:val="24"/>
              </w:rPr>
            </w:pPr>
            <w:r w:rsidRPr="00383906">
              <w:rPr>
                <w:sz w:val="24"/>
                <w:szCs w:val="24"/>
              </w:rPr>
              <w:t xml:space="preserve">Avoid due to   potential for rebound HTN with missed doses, adverse CNS effects. Potential for </w:t>
            </w:r>
            <w:proofErr w:type="spellStart"/>
            <w:r w:rsidRPr="00383906">
              <w:rPr>
                <w:sz w:val="24"/>
                <w:szCs w:val="24"/>
              </w:rPr>
              <w:t>bradycardia</w:t>
            </w:r>
            <w:proofErr w:type="spellEnd"/>
            <w:r w:rsidRPr="00383906">
              <w:rPr>
                <w:sz w:val="24"/>
                <w:szCs w:val="24"/>
              </w:rPr>
              <w:t xml:space="preserve"> and orthostatic hypotension.  If required should be administered via </w:t>
            </w:r>
            <w:proofErr w:type="spellStart"/>
            <w:r w:rsidRPr="00383906">
              <w:rPr>
                <w:sz w:val="24"/>
                <w:szCs w:val="24"/>
              </w:rPr>
              <w:t>transdermal</w:t>
            </w:r>
            <w:proofErr w:type="spellEnd"/>
            <w:r w:rsidRPr="00383906">
              <w:rPr>
                <w:sz w:val="24"/>
                <w:szCs w:val="24"/>
              </w:rPr>
              <w:t xml:space="preserve"> patch to maximize steady dose.</w:t>
            </w:r>
          </w:p>
        </w:tc>
        <w:tc>
          <w:tcPr>
            <w:tcW w:w="4248" w:type="dxa"/>
          </w:tcPr>
          <w:p w:rsidR="005745AE" w:rsidRPr="00383906" w:rsidRDefault="005745AE" w:rsidP="00040AAA">
            <w:pPr>
              <w:rPr>
                <w:sz w:val="24"/>
                <w:szCs w:val="24"/>
              </w:rPr>
            </w:pPr>
            <w:r w:rsidRPr="00383906">
              <w:rPr>
                <w:sz w:val="24"/>
                <w:szCs w:val="24"/>
              </w:rPr>
              <w:t xml:space="preserve">Taper and discontinue </w:t>
            </w:r>
            <w:proofErr w:type="spellStart"/>
            <w:r w:rsidRPr="00383906">
              <w:rPr>
                <w:sz w:val="24"/>
                <w:szCs w:val="24"/>
              </w:rPr>
              <w:t>Clonidine</w:t>
            </w:r>
            <w:proofErr w:type="spellEnd"/>
            <w:r w:rsidRPr="00383906">
              <w:rPr>
                <w:sz w:val="24"/>
                <w:szCs w:val="24"/>
              </w:rPr>
              <w:t xml:space="preserve">.  May consider </w:t>
            </w:r>
            <w:proofErr w:type="spellStart"/>
            <w:r w:rsidRPr="00383906">
              <w:rPr>
                <w:sz w:val="24"/>
                <w:szCs w:val="24"/>
              </w:rPr>
              <w:t>Clonidine</w:t>
            </w:r>
            <w:proofErr w:type="spellEnd"/>
            <w:r w:rsidRPr="00383906">
              <w:rPr>
                <w:sz w:val="24"/>
                <w:szCs w:val="24"/>
              </w:rPr>
              <w:t xml:space="preserve"> via </w:t>
            </w:r>
            <w:proofErr w:type="spellStart"/>
            <w:r w:rsidRPr="00383906">
              <w:rPr>
                <w:sz w:val="24"/>
                <w:szCs w:val="24"/>
              </w:rPr>
              <w:t>transdermal</w:t>
            </w:r>
            <w:proofErr w:type="spellEnd"/>
            <w:r w:rsidRPr="00383906">
              <w:rPr>
                <w:sz w:val="24"/>
                <w:szCs w:val="24"/>
              </w:rPr>
              <w:t xml:space="preserve"> patch in the future. </w:t>
            </w:r>
          </w:p>
        </w:tc>
      </w:tr>
      <w:tr w:rsidR="005745AE" w:rsidRPr="00383906" w:rsidTr="00040AAA">
        <w:tc>
          <w:tcPr>
            <w:tcW w:w="1998" w:type="dxa"/>
          </w:tcPr>
          <w:p w:rsidR="005745AE" w:rsidRPr="00383906" w:rsidRDefault="005745AE" w:rsidP="00040AAA">
            <w:pPr>
              <w:rPr>
                <w:sz w:val="24"/>
                <w:szCs w:val="24"/>
              </w:rPr>
            </w:pPr>
            <w:proofErr w:type="spellStart"/>
            <w:r w:rsidRPr="00383906">
              <w:rPr>
                <w:sz w:val="24"/>
                <w:szCs w:val="24"/>
              </w:rPr>
              <w:t>glyburide</w:t>
            </w:r>
            <w:proofErr w:type="spellEnd"/>
            <w:r w:rsidRPr="00383906">
              <w:rPr>
                <w:sz w:val="24"/>
                <w:szCs w:val="24"/>
              </w:rPr>
              <w:t xml:space="preserve"> (</w:t>
            </w:r>
            <w:proofErr w:type="spellStart"/>
            <w:r w:rsidRPr="00383906">
              <w:rPr>
                <w:sz w:val="24"/>
                <w:szCs w:val="24"/>
              </w:rPr>
              <w:t>Micronase</w:t>
            </w:r>
            <w:proofErr w:type="spellEnd"/>
            <w:r w:rsidRPr="00383906">
              <w:rPr>
                <w:sz w:val="24"/>
                <w:szCs w:val="24"/>
              </w:rPr>
              <w:t>)</w:t>
            </w:r>
          </w:p>
        </w:tc>
        <w:tc>
          <w:tcPr>
            <w:tcW w:w="3330" w:type="dxa"/>
          </w:tcPr>
          <w:p w:rsidR="005745AE" w:rsidRPr="00383906" w:rsidRDefault="005745AE" w:rsidP="00040AAA">
            <w:pPr>
              <w:rPr>
                <w:sz w:val="24"/>
                <w:szCs w:val="24"/>
              </w:rPr>
            </w:pPr>
            <w:r w:rsidRPr="00383906">
              <w:rPr>
                <w:sz w:val="24"/>
                <w:szCs w:val="24"/>
              </w:rPr>
              <w:t xml:space="preserve">Long acting Sulfonylurea may contribute to prolonged hypoglycemic status and cause erratic </w:t>
            </w:r>
            <w:proofErr w:type="spellStart"/>
            <w:r w:rsidRPr="00383906">
              <w:rPr>
                <w:sz w:val="24"/>
                <w:szCs w:val="24"/>
              </w:rPr>
              <w:t>glycemic</w:t>
            </w:r>
            <w:proofErr w:type="spellEnd"/>
            <w:r w:rsidRPr="00383906">
              <w:rPr>
                <w:sz w:val="24"/>
                <w:szCs w:val="24"/>
              </w:rPr>
              <w:t xml:space="preserve"> control</w:t>
            </w:r>
          </w:p>
        </w:tc>
        <w:tc>
          <w:tcPr>
            <w:tcW w:w="4248" w:type="dxa"/>
          </w:tcPr>
          <w:p w:rsidR="005745AE" w:rsidRPr="00383906" w:rsidRDefault="005745AE" w:rsidP="00040AAA">
            <w:pPr>
              <w:rPr>
                <w:sz w:val="24"/>
                <w:szCs w:val="24"/>
              </w:rPr>
            </w:pPr>
            <w:r w:rsidRPr="00383906">
              <w:rPr>
                <w:sz w:val="24"/>
                <w:szCs w:val="24"/>
              </w:rPr>
              <w:t xml:space="preserve">Discontinue </w:t>
            </w:r>
            <w:proofErr w:type="spellStart"/>
            <w:r w:rsidRPr="00383906">
              <w:rPr>
                <w:sz w:val="24"/>
                <w:szCs w:val="24"/>
              </w:rPr>
              <w:t>Glyburide</w:t>
            </w:r>
            <w:proofErr w:type="spellEnd"/>
            <w:r w:rsidRPr="00383906">
              <w:rPr>
                <w:sz w:val="24"/>
                <w:szCs w:val="24"/>
              </w:rPr>
              <w:t xml:space="preserve">, start </w:t>
            </w:r>
            <w:proofErr w:type="spellStart"/>
            <w:r w:rsidRPr="00383906">
              <w:rPr>
                <w:sz w:val="24"/>
                <w:szCs w:val="24"/>
              </w:rPr>
              <w:t>Amaryl</w:t>
            </w:r>
            <w:proofErr w:type="spellEnd"/>
            <w:r w:rsidRPr="00383906">
              <w:rPr>
                <w:sz w:val="24"/>
                <w:szCs w:val="24"/>
              </w:rPr>
              <w:t xml:space="preserve"> (</w:t>
            </w:r>
            <w:proofErr w:type="spellStart"/>
            <w:r w:rsidRPr="00383906">
              <w:rPr>
                <w:sz w:val="24"/>
                <w:szCs w:val="24"/>
              </w:rPr>
              <w:t>glimepiride</w:t>
            </w:r>
            <w:proofErr w:type="spellEnd"/>
            <w:r w:rsidRPr="00383906">
              <w:rPr>
                <w:sz w:val="24"/>
                <w:szCs w:val="24"/>
              </w:rPr>
              <w:t xml:space="preserve">) a short acting sulfonylurea and which may decrease potential for hypoglycemic effects. </w:t>
            </w:r>
          </w:p>
        </w:tc>
      </w:tr>
      <w:tr w:rsidR="005745AE" w:rsidRPr="00383906" w:rsidTr="00040AAA">
        <w:tc>
          <w:tcPr>
            <w:tcW w:w="1998" w:type="dxa"/>
          </w:tcPr>
          <w:p w:rsidR="005745AE" w:rsidRPr="00383906" w:rsidRDefault="005745AE" w:rsidP="00040AAA">
            <w:pPr>
              <w:rPr>
                <w:sz w:val="24"/>
                <w:szCs w:val="24"/>
              </w:rPr>
            </w:pPr>
            <w:proofErr w:type="spellStart"/>
            <w:r w:rsidRPr="00383906">
              <w:rPr>
                <w:sz w:val="24"/>
                <w:szCs w:val="24"/>
              </w:rPr>
              <w:t>metaprolol</w:t>
            </w:r>
            <w:proofErr w:type="spellEnd"/>
          </w:p>
          <w:p w:rsidR="005745AE" w:rsidRPr="00383906" w:rsidRDefault="005745AE" w:rsidP="00040AAA">
            <w:pPr>
              <w:rPr>
                <w:sz w:val="24"/>
                <w:szCs w:val="24"/>
              </w:rPr>
            </w:pPr>
            <w:r w:rsidRPr="00383906">
              <w:rPr>
                <w:sz w:val="24"/>
                <w:szCs w:val="24"/>
              </w:rPr>
              <w:t>(</w:t>
            </w:r>
            <w:proofErr w:type="spellStart"/>
            <w:r w:rsidRPr="00383906">
              <w:rPr>
                <w:sz w:val="24"/>
                <w:szCs w:val="24"/>
              </w:rPr>
              <w:t>Lopressor</w:t>
            </w:r>
            <w:proofErr w:type="spellEnd"/>
            <w:r w:rsidRPr="00383906">
              <w:rPr>
                <w:sz w:val="24"/>
                <w:szCs w:val="24"/>
              </w:rPr>
              <w:t>)</w:t>
            </w:r>
          </w:p>
        </w:tc>
        <w:tc>
          <w:tcPr>
            <w:tcW w:w="3330" w:type="dxa"/>
          </w:tcPr>
          <w:p w:rsidR="005745AE" w:rsidRPr="00383906" w:rsidRDefault="005745AE" w:rsidP="00040AAA">
            <w:pPr>
              <w:rPr>
                <w:sz w:val="24"/>
                <w:szCs w:val="24"/>
              </w:rPr>
            </w:pPr>
            <w:r w:rsidRPr="00383906">
              <w:rPr>
                <w:sz w:val="24"/>
                <w:szCs w:val="24"/>
              </w:rPr>
              <w:t xml:space="preserve">Use with caution due to compound effects with </w:t>
            </w:r>
            <w:proofErr w:type="spellStart"/>
            <w:r w:rsidRPr="00383906">
              <w:rPr>
                <w:sz w:val="24"/>
                <w:szCs w:val="24"/>
              </w:rPr>
              <w:t>clonidine</w:t>
            </w:r>
            <w:proofErr w:type="spellEnd"/>
            <w:r w:rsidRPr="00383906">
              <w:rPr>
                <w:sz w:val="24"/>
                <w:szCs w:val="24"/>
              </w:rPr>
              <w:t xml:space="preserve">.  Some evidence suggests that </w:t>
            </w:r>
            <w:proofErr w:type="spellStart"/>
            <w:r w:rsidRPr="00383906">
              <w:rPr>
                <w:sz w:val="24"/>
                <w:szCs w:val="24"/>
              </w:rPr>
              <w:t>metoprolol</w:t>
            </w:r>
            <w:proofErr w:type="spellEnd"/>
            <w:r w:rsidRPr="00383906">
              <w:rPr>
                <w:sz w:val="24"/>
                <w:szCs w:val="24"/>
              </w:rPr>
              <w:t xml:space="preserve"> is not effective in African Americans. </w:t>
            </w:r>
          </w:p>
        </w:tc>
        <w:tc>
          <w:tcPr>
            <w:tcW w:w="4248" w:type="dxa"/>
          </w:tcPr>
          <w:p w:rsidR="005745AE" w:rsidRPr="00383906" w:rsidRDefault="005745AE" w:rsidP="00040AAA">
            <w:pPr>
              <w:rPr>
                <w:sz w:val="24"/>
                <w:szCs w:val="24"/>
              </w:rPr>
            </w:pPr>
            <w:r w:rsidRPr="00383906">
              <w:rPr>
                <w:sz w:val="24"/>
                <w:szCs w:val="24"/>
              </w:rPr>
              <w:t xml:space="preserve">Discontinue </w:t>
            </w:r>
            <w:proofErr w:type="spellStart"/>
            <w:r w:rsidRPr="00383906">
              <w:rPr>
                <w:sz w:val="24"/>
                <w:szCs w:val="24"/>
              </w:rPr>
              <w:t>Metoprolol</w:t>
            </w:r>
            <w:proofErr w:type="spellEnd"/>
            <w:r w:rsidRPr="00383906">
              <w:rPr>
                <w:sz w:val="24"/>
                <w:szCs w:val="24"/>
              </w:rPr>
              <w:t xml:space="preserve">, start </w:t>
            </w:r>
            <w:proofErr w:type="spellStart"/>
            <w:r w:rsidRPr="00383906">
              <w:rPr>
                <w:sz w:val="24"/>
                <w:szCs w:val="24"/>
              </w:rPr>
              <w:t>Tenormin</w:t>
            </w:r>
            <w:proofErr w:type="spellEnd"/>
            <w:r w:rsidRPr="00383906">
              <w:rPr>
                <w:sz w:val="24"/>
                <w:szCs w:val="24"/>
              </w:rPr>
              <w:t xml:space="preserve"> (</w:t>
            </w:r>
            <w:proofErr w:type="spellStart"/>
            <w:r w:rsidRPr="00383906">
              <w:rPr>
                <w:sz w:val="24"/>
                <w:szCs w:val="24"/>
              </w:rPr>
              <w:t>Atenolol</w:t>
            </w:r>
            <w:proofErr w:type="spellEnd"/>
            <w:r w:rsidRPr="00383906">
              <w:rPr>
                <w:sz w:val="24"/>
                <w:szCs w:val="24"/>
              </w:rPr>
              <w:t xml:space="preserve">) for once a day dosing to meet the need to manage n </w:t>
            </w:r>
            <w:proofErr w:type="spellStart"/>
            <w:r w:rsidRPr="00383906">
              <w:rPr>
                <w:sz w:val="24"/>
                <w:szCs w:val="24"/>
              </w:rPr>
              <w:t>atrial</w:t>
            </w:r>
            <w:proofErr w:type="spellEnd"/>
            <w:r w:rsidRPr="00383906">
              <w:rPr>
                <w:sz w:val="24"/>
                <w:szCs w:val="24"/>
              </w:rPr>
              <w:t xml:space="preserve"> fibrillation and rate control</w:t>
            </w:r>
          </w:p>
        </w:tc>
      </w:tr>
      <w:tr w:rsidR="005745AE" w:rsidRPr="00383906" w:rsidTr="00040AAA">
        <w:tc>
          <w:tcPr>
            <w:tcW w:w="1998" w:type="dxa"/>
          </w:tcPr>
          <w:p w:rsidR="005745AE" w:rsidRPr="00383906" w:rsidRDefault="005745AE" w:rsidP="00040AAA">
            <w:pPr>
              <w:rPr>
                <w:sz w:val="24"/>
                <w:szCs w:val="24"/>
              </w:rPr>
            </w:pPr>
            <w:proofErr w:type="spellStart"/>
            <w:r w:rsidRPr="00383906">
              <w:rPr>
                <w:sz w:val="24"/>
                <w:szCs w:val="24"/>
              </w:rPr>
              <w:t>chlorthalidone</w:t>
            </w:r>
            <w:proofErr w:type="spellEnd"/>
            <w:r w:rsidRPr="00383906">
              <w:rPr>
                <w:sz w:val="24"/>
                <w:szCs w:val="24"/>
              </w:rPr>
              <w:t xml:space="preserve"> (</w:t>
            </w:r>
            <w:proofErr w:type="spellStart"/>
            <w:r w:rsidRPr="00383906">
              <w:rPr>
                <w:sz w:val="24"/>
                <w:szCs w:val="24"/>
              </w:rPr>
              <w:t>Hygroton</w:t>
            </w:r>
            <w:proofErr w:type="spellEnd"/>
            <w:r w:rsidRPr="00383906">
              <w:rPr>
                <w:sz w:val="24"/>
                <w:szCs w:val="24"/>
              </w:rPr>
              <w:t xml:space="preserve">, </w:t>
            </w:r>
            <w:proofErr w:type="spellStart"/>
            <w:r w:rsidRPr="00383906">
              <w:rPr>
                <w:sz w:val="24"/>
                <w:szCs w:val="24"/>
              </w:rPr>
              <w:t>Thalitone</w:t>
            </w:r>
            <w:proofErr w:type="spellEnd"/>
            <w:r w:rsidRPr="00383906">
              <w:rPr>
                <w:sz w:val="24"/>
                <w:szCs w:val="24"/>
              </w:rPr>
              <w:t xml:space="preserve">  </w:t>
            </w:r>
          </w:p>
        </w:tc>
        <w:tc>
          <w:tcPr>
            <w:tcW w:w="3330" w:type="dxa"/>
          </w:tcPr>
          <w:p w:rsidR="005745AE" w:rsidRPr="00383906" w:rsidRDefault="005745AE" w:rsidP="00040AAA">
            <w:pPr>
              <w:rPr>
                <w:sz w:val="24"/>
                <w:szCs w:val="24"/>
              </w:rPr>
            </w:pPr>
            <w:r w:rsidRPr="00383906">
              <w:rPr>
                <w:sz w:val="24"/>
                <w:szCs w:val="24"/>
              </w:rPr>
              <w:t xml:space="preserve">Use cautiously in older adults due to potential for hypotension.  Increased risk for </w:t>
            </w:r>
            <w:proofErr w:type="spellStart"/>
            <w:r w:rsidRPr="00383906">
              <w:rPr>
                <w:sz w:val="24"/>
                <w:szCs w:val="24"/>
              </w:rPr>
              <w:t>hypokalemia</w:t>
            </w:r>
            <w:proofErr w:type="spellEnd"/>
            <w:r w:rsidRPr="00383906">
              <w:rPr>
                <w:sz w:val="24"/>
                <w:szCs w:val="24"/>
              </w:rPr>
              <w:t xml:space="preserve">  </w:t>
            </w:r>
          </w:p>
        </w:tc>
        <w:tc>
          <w:tcPr>
            <w:tcW w:w="4248" w:type="dxa"/>
          </w:tcPr>
          <w:p w:rsidR="005745AE" w:rsidRPr="00383906" w:rsidRDefault="005745AE" w:rsidP="00040AAA">
            <w:pPr>
              <w:rPr>
                <w:sz w:val="24"/>
                <w:szCs w:val="24"/>
              </w:rPr>
            </w:pPr>
          </w:p>
        </w:tc>
      </w:tr>
      <w:tr w:rsidR="005745AE" w:rsidRPr="00383906" w:rsidTr="00040AAA">
        <w:tc>
          <w:tcPr>
            <w:tcW w:w="1998" w:type="dxa"/>
          </w:tcPr>
          <w:p w:rsidR="005745AE" w:rsidRPr="00383906" w:rsidRDefault="005745AE" w:rsidP="00040AAA">
            <w:pPr>
              <w:rPr>
                <w:sz w:val="24"/>
                <w:szCs w:val="24"/>
              </w:rPr>
            </w:pPr>
            <w:r w:rsidRPr="00383906">
              <w:rPr>
                <w:sz w:val="24"/>
                <w:szCs w:val="24"/>
              </w:rPr>
              <w:t xml:space="preserve"> </w:t>
            </w:r>
            <w:proofErr w:type="spellStart"/>
            <w:r w:rsidRPr="00383906">
              <w:rPr>
                <w:sz w:val="24"/>
                <w:szCs w:val="24"/>
              </w:rPr>
              <w:t>metformin</w:t>
            </w:r>
            <w:proofErr w:type="spellEnd"/>
          </w:p>
          <w:p w:rsidR="005745AE" w:rsidRPr="00383906" w:rsidRDefault="005745AE" w:rsidP="00040AAA">
            <w:pPr>
              <w:rPr>
                <w:sz w:val="24"/>
                <w:szCs w:val="24"/>
              </w:rPr>
            </w:pPr>
            <w:r w:rsidRPr="00383906">
              <w:rPr>
                <w:sz w:val="24"/>
                <w:szCs w:val="24"/>
              </w:rPr>
              <w:t>(</w:t>
            </w:r>
            <w:proofErr w:type="spellStart"/>
            <w:r w:rsidRPr="00383906">
              <w:rPr>
                <w:sz w:val="24"/>
                <w:szCs w:val="24"/>
              </w:rPr>
              <w:t>Glucophage</w:t>
            </w:r>
            <w:proofErr w:type="spellEnd"/>
            <w:r w:rsidRPr="00383906">
              <w:rPr>
                <w:sz w:val="24"/>
                <w:szCs w:val="24"/>
              </w:rPr>
              <w:t>)</w:t>
            </w:r>
          </w:p>
        </w:tc>
        <w:tc>
          <w:tcPr>
            <w:tcW w:w="3330" w:type="dxa"/>
          </w:tcPr>
          <w:p w:rsidR="005745AE" w:rsidRPr="00383906" w:rsidRDefault="005745AE" w:rsidP="00040AAA">
            <w:pPr>
              <w:rPr>
                <w:sz w:val="24"/>
                <w:szCs w:val="24"/>
              </w:rPr>
            </w:pPr>
            <w:r w:rsidRPr="00383906">
              <w:rPr>
                <w:sz w:val="24"/>
                <w:szCs w:val="24"/>
              </w:rPr>
              <w:t>Contraindicated for individuals with impaired renal function</w:t>
            </w:r>
          </w:p>
        </w:tc>
        <w:tc>
          <w:tcPr>
            <w:tcW w:w="4248" w:type="dxa"/>
          </w:tcPr>
          <w:p w:rsidR="005745AE" w:rsidRPr="00383906" w:rsidRDefault="005745AE" w:rsidP="00040AAA">
            <w:pPr>
              <w:rPr>
                <w:sz w:val="24"/>
                <w:szCs w:val="24"/>
              </w:rPr>
            </w:pPr>
            <w:r w:rsidRPr="00383906">
              <w:rPr>
                <w:sz w:val="24"/>
                <w:szCs w:val="24"/>
              </w:rPr>
              <w:t xml:space="preserve">Fred’s calculated GFR is 60.1ml/min. per Cockcroft formula.  Continue </w:t>
            </w:r>
            <w:proofErr w:type="spellStart"/>
            <w:r w:rsidRPr="00383906">
              <w:rPr>
                <w:sz w:val="24"/>
                <w:szCs w:val="24"/>
              </w:rPr>
              <w:t>Metformin</w:t>
            </w:r>
            <w:proofErr w:type="spellEnd"/>
            <w:r w:rsidRPr="00383906">
              <w:rPr>
                <w:sz w:val="24"/>
                <w:szCs w:val="24"/>
              </w:rPr>
              <w:t xml:space="preserve"> 500 twice a </w:t>
            </w:r>
            <w:proofErr w:type="spellStart"/>
            <w:r w:rsidRPr="00383906">
              <w:rPr>
                <w:sz w:val="24"/>
                <w:szCs w:val="24"/>
              </w:rPr>
              <w:t>da</w:t>
            </w:r>
            <w:proofErr w:type="spellEnd"/>
            <w:r w:rsidRPr="00383906">
              <w:rPr>
                <w:sz w:val="24"/>
                <w:szCs w:val="24"/>
              </w:rPr>
              <w:t xml:space="preserve">.  Will closely monitor </w:t>
            </w:r>
            <w:proofErr w:type="spellStart"/>
            <w:r w:rsidRPr="00383906">
              <w:rPr>
                <w:sz w:val="24"/>
                <w:szCs w:val="24"/>
              </w:rPr>
              <w:t>creatinine</w:t>
            </w:r>
            <w:proofErr w:type="spellEnd"/>
            <w:r w:rsidRPr="00383906">
              <w:rPr>
                <w:sz w:val="24"/>
                <w:szCs w:val="24"/>
              </w:rPr>
              <w:t xml:space="preserve"> clearance</w:t>
            </w:r>
          </w:p>
        </w:tc>
      </w:tr>
      <w:tr w:rsidR="005745AE" w:rsidRPr="00383906" w:rsidTr="00040AAA">
        <w:tc>
          <w:tcPr>
            <w:tcW w:w="1998" w:type="dxa"/>
          </w:tcPr>
          <w:p w:rsidR="005745AE" w:rsidRPr="00383906" w:rsidRDefault="005745AE" w:rsidP="00040AAA">
            <w:pPr>
              <w:rPr>
                <w:sz w:val="24"/>
                <w:szCs w:val="24"/>
              </w:rPr>
            </w:pPr>
            <w:proofErr w:type="spellStart"/>
            <w:r w:rsidRPr="00383906">
              <w:rPr>
                <w:sz w:val="24"/>
                <w:szCs w:val="24"/>
              </w:rPr>
              <w:t>simvastatin</w:t>
            </w:r>
            <w:proofErr w:type="spellEnd"/>
            <w:r w:rsidRPr="00383906">
              <w:rPr>
                <w:sz w:val="24"/>
                <w:szCs w:val="24"/>
              </w:rPr>
              <w:t xml:space="preserve"> (</w:t>
            </w:r>
            <w:proofErr w:type="spellStart"/>
            <w:r w:rsidRPr="00383906">
              <w:rPr>
                <w:sz w:val="24"/>
                <w:szCs w:val="24"/>
              </w:rPr>
              <w:t>Zocor</w:t>
            </w:r>
            <w:proofErr w:type="spellEnd"/>
            <w:r w:rsidRPr="00383906">
              <w:rPr>
                <w:sz w:val="24"/>
                <w:szCs w:val="24"/>
              </w:rPr>
              <w:t>)</w:t>
            </w:r>
          </w:p>
        </w:tc>
        <w:tc>
          <w:tcPr>
            <w:tcW w:w="3330" w:type="dxa"/>
          </w:tcPr>
          <w:p w:rsidR="005745AE" w:rsidRPr="00383906" w:rsidRDefault="005745AE" w:rsidP="00040AAA">
            <w:pPr>
              <w:rPr>
                <w:sz w:val="24"/>
                <w:szCs w:val="24"/>
              </w:rPr>
            </w:pPr>
            <w:r w:rsidRPr="00383906">
              <w:rPr>
                <w:sz w:val="24"/>
                <w:szCs w:val="24"/>
              </w:rPr>
              <w:t xml:space="preserve">Recent evidence has shown that </w:t>
            </w:r>
            <w:proofErr w:type="spellStart"/>
            <w:r w:rsidRPr="00383906">
              <w:rPr>
                <w:sz w:val="24"/>
                <w:szCs w:val="24"/>
              </w:rPr>
              <w:t>statins</w:t>
            </w:r>
            <w:proofErr w:type="spellEnd"/>
            <w:r w:rsidRPr="00383906">
              <w:rPr>
                <w:sz w:val="24"/>
                <w:szCs w:val="24"/>
              </w:rPr>
              <w:t xml:space="preserve"> contribute to increased blood glucose levels making OM management more difficult.  Maximum recommended dose in the elderly is 20 mg daily to avoid adverse effects. </w:t>
            </w:r>
          </w:p>
        </w:tc>
        <w:tc>
          <w:tcPr>
            <w:tcW w:w="4248" w:type="dxa"/>
          </w:tcPr>
          <w:p w:rsidR="005745AE" w:rsidRPr="00383906" w:rsidRDefault="005745AE" w:rsidP="00040AAA">
            <w:pPr>
              <w:rPr>
                <w:sz w:val="24"/>
                <w:szCs w:val="24"/>
              </w:rPr>
            </w:pPr>
            <w:r w:rsidRPr="00383906">
              <w:rPr>
                <w:sz w:val="24"/>
                <w:szCs w:val="24"/>
              </w:rPr>
              <w:t xml:space="preserve">Decrease </w:t>
            </w:r>
            <w:proofErr w:type="spellStart"/>
            <w:r w:rsidRPr="00383906">
              <w:rPr>
                <w:sz w:val="24"/>
                <w:szCs w:val="24"/>
              </w:rPr>
              <w:t>Simvastatin</w:t>
            </w:r>
            <w:proofErr w:type="spellEnd"/>
            <w:r w:rsidRPr="00383906">
              <w:rPr>
                <w:sz w:val="24"/>
                <w:szCs w:val="24"/>
              </w:rPr>
              <w:t xml:space="preserve"> to 20 mg. daily, follow lipid levels at the next clinic visit; this may improve blood sugar control.</w:t>
            </w:r>
          </w:p>
        </w:tc>
      </w:tr>
    </w:tbl>
    <w:p w:rsidR="005745AE" w:rsidRPr="00383906" w:rsidRDefault="005745AE" w:rsidP="005745AE">
      <w:pPr>
        <w:rPr>
          <w:sz w:val="24"/>
          <w:szCs w:val="24"/>
        </w:rPr>
      </w:pPr>
      <w:r w:rsidRPr="00383906">
        <w:rPr>
          <w:sz w:val="24"/>
          <w:szCs w:val="24"/>
        </w:rPr>
        <w:t>** The decision to discontinue anticoagulant therapy for individuals at risk for complications remains controversial.  The decision to discontinue anticoagulation therapy needs to be individualized for each patient by evaluating fall risk and risk of stroke.</w:t>
      </w:r>
    </w:p>
    <w:p w:rsidR="005745AE" w:rsidRDefault="005745AE" w:rsidP="005745AE">
      <w:pPr>
        <w:rPr>
          <w:b/>
          <w:sz w:val="24"/>
          <w:szCs w:val="24"/>
        </w:rPr>
      </w:pPr>
    </w:p>
    <w:p w:rsidR="00A56FCC" w:rsidRDefault="00A56FCC"/>
    <w:sectPr w:rsidR="00A56FCC" w:rsidSect="00A56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918"/>
    <w:rsid w:val="005745AE"/>
    <w:rsid w:val="00A56FCC"/>
    <w:rsid w:val="00EC2907"/>
    <w:rsid w:val="00EF0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1082</Words>
  <Characters>6168</Characters>
  <Application>Microsoft Office Word</Application>
  <DocSecurity>0</DocSecurity>
  <Lines>51</Lines>
  <Paragraphs>14</Paragraphs>
  <ScaleCrop>false</ScaleCrop>
  <Company>Microsoft</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TSP-2016-10-07</dc:creator>
  <cp:keywords/>
  <dc:description/>
  <cp:lastModifiedBy>TSP-2016-10-07</cp:lastModifiedBy>
  <cp:revision>3</cp:revision>
  <dcterms:created xsi:type="dcterms:W3CDTF">2017-02-18T07:00:00Z</dcterms:created>
  <dcterms:modified xsi:type="dcterms:W3CDTF">2017-02-21T05:54:00Z</dcterms:modified>
</cp:coreProperties>
</file>