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40" w:rsidRPr="00100E8F" w:rsidRDefault="00596740" w:rsidP="005967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00E8F">
        <w:rPr>
          <w:rFonts w:ascii="Times New Roman" w:hAnsi="Times New Roman"/>
          <w:b/>
          <w:sz w:val="20"/>
          <w:szCs w:val="20"/>
        </w:rPr>
        <w:t>Table 3:</w:t>
      </w:r>
      <w:r w:rsidRPr="00100E8F">
        <w:rPr>
          <w:rFonts w:ascii="Times New Roman" w:hAnsi="Times New Roman"/>
          <w:sz w:val="20"/>
          <w:szCs w:val="20"/>
        </w:rPr>
        <w:t xml:space="preserve"> This table outlines studies that have assessed the antidepressant-like effects of ketamine in commonly used behavioral tests. Molecular alterations of relevance to ketamine’s molecular mechanism of action are also reported.</w:t>
      </w:r>
    </w:p>
    <w:p w:rsidR="002F6C70" w:rsidRPr="00100E8F" w:rsidRDefault="002F6C70"/>
    <w:tbl>
      <w:tblPr>
        <w:tblW w:w="10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5"/>
        <w:gridCol w:w="2453"/>
        <w:gridCol w:w="1890"/>
        <w:gridCol w:w="2430"/>
        <w:gridCol w:w="1072"/>
        <w:gridCol w:w="1149"/>
      </w:tblGrid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 xml:space="preserve">Species 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 xml:space="preserve">Behaviour </w:t>
            </w:r>
          </w:p>
        </w:tc>
        <w:tc>
          <w:tcPr>
            <w:tcW w:w="5302" w:type="dxa"/>
            <w:gridSpan w:val="3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Molecular Alteration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 xml:space="preserve">References </w:t>
            </w:r>
          </w:p>
        </w:tc>
      </w:tr>
      <w:tr w:rsidR="00596740" w:rsidRPr="00100E8F" w:rsidTr="00CC4C12">
        <w:trPr>
          <w:trHeight w:val="300"/>
        </w:trPr>
        <w:tc>
          <w:tcPr>
            <w:tcW w:w="3708" w:type="dxa"/>
            <w:gridSpan w:val="2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 xml:space="preserve">mPFC 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Hippocampus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NAc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 xml:space="preserve">SD Rats 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↓Latency to feed in the NSF 24 h post-injection (5 &amp; 10 mg/kg)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↑mTOR phosphory-lation in males &amp;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↓eEF2 phosphorylation in males (5 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4" w:history="1">
              <w:r w:rsidRPr="00100E8F">
                <w:rPr>
                  <w:rStyle w:val="Hyperlink"/>
                  <w:rFonts w:ascii="Times New Roman" w:hAnsi="Times New Roman"/>
                  <w:color w:val="auto"/>
                  <w:sz w:val="20"/>
                  <w:szCs w:val="20"/>
                </w:rPr>
                <w:t>57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↑Sucrose consumption of males 48 h post-injection in SPT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↓immobility in FST in males &amp; females 30 min post-injection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C57BL6/J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↓FST immobility time in males &amp; free cycling females (3 mg/kg)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p-CaMKIIα &amp; p-MAPK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all groups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p-CaMKIIα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D1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(3 mg/kg)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Pro females (1.5 &amp; 3 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5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59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 xml:space="preserve">↓immobility time in D1 females treated with PPT or DPN but not P4 (1.5 mg/kg) 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p-GluR1 &amp; BDNF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D1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&amp; Pro Females (3</w:t>
            </w:r>
            <w:r w:rsidR="005D4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0E8F">
              <w:rPr>
                <w:rFonts w:ascii="Times New Roman" w:hAnsi="Times New Roman"/>
                <w:sz w:val="20"/>
                <w:szCs w:val="20"/>
              </w:rPr>
              <w:t>mg/kg)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p-GluR1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↔D1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&amp; Pro females (3</w:t>
            </w:r>
            <w:r w:rsidR="005D42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0E8F">
              <w:rPr>
                <w:rFonts w:ascii="Times New Roman" w:hAnsi="Times New Roman"/>
                <w:sz w:val="20"/>
                <w:szCs w:val="20"/>
              </w:rPr>
              <w:t>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↓immobility time in males and D1 females (3 mg/kg)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 xml:space="preserve">p-Akt 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D1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 xml:space="preserve">↑in males at 3 mg/kg ↑in Pro females (1.5 &amp; 3 mg/kg) 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BDNF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Pro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&amp; D1 females (3 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 xml:space="preserve">↓immobility time in Pro females (1.5 &amp; 3 mg/kg) 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p-GSK-3β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D1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&amp; Pro females (1.5 &amp; 3 mg/kg)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p-MAPK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&amp; Pro females (3</w:t>
            </w:r>
            <w:r w:rsidR="00FC335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00E8F">
              <w:rPr>
                <w:rFonts w:ascii="Times New Roman" w:hAnsi="Times New Roman"/>
                <w:sz w:val="20"/>
                <w:szCs w:val="20"/>
              </w:rPr>
              <w:t>mg/kg)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D1 females (1.5 &amp; 3 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mTOR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Pro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↑in males &amp; D1 females (3 mg/kg)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p-Akt↔in D1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(3 mg/kg)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↑in Pro females (1.5 &amp; 3 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p-GSK-3β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males (1.5 &amp; 3 mg/kg)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D1 &amp; Pro females (3 mg/kg)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C57BL6/J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Females were more sensitive in the FST than males (Females responded to lower dose (3 mg/kg) and the higher doses whiles males responded to higher doses (5 &amp; 10 mg/kg))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↑aspartate levels in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↓5-HIAA/5HT ratio in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↓glutamate conc. in 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↓5-HIAA/5HT in females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6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58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ICR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↓immobility time in FST in both sexes (10 mg/kg acute administration)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↔beclin-1 &amp; p62 (5 &amp; 10 mg/kg chronic administration)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7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75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immobility time in FST, locomotor activity in the OFT, in both sexes (5 &amp; 10 mg/kg chronic administration)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SD Rats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Ketamine at 10, 20 &amp; 40 mg/kg caused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↑locomotor activity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↔grooming in both sexes of preadolescent rats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8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92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Ketamine at 20 or 40 mg/kg caused female adolescent rats to exhibit more locomotor activity than 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↔grooming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 conditioned activity after Ketamine administration in both sexes of the preadolescent rats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SD Rats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2.5 mg/kg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sucrose preference in OVX females + E2 + P4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Protein levels of BDNF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OVX female + E2 + P4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9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91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sucrose preference in OVX females + E2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OVX females + E2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OVX females + P4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sucrose preference in OVX females + P4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 in intact males + P4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↓in intact males + E2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sucrose preference in intact males + P4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intact males + E2 + P4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 in intact males + P4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sucrose preference in intact males + E2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protein levels of Akt &amp; - p-Akt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all groups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sucrose preference in females + testosterone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protein levels of p-ERK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OVX females + E2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 in all other groups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↔in sucrose preference in gonadectomized males + testosterone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protein levels of CaMKIIα &amp; p-CaMKIIα ↓OVX females + E2 of CaMKIIα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intact males + E2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intact males + E2 + P4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SD Rats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↔Conditioned placed preference in both sexes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5 mg/kg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↑spine density in the NAcSh in 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10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62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↑spine density in NAcSh &amp; NAcC in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↑∆fosB, CaMKIIα, GluA1 and BDNF in 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↔∆fosB, CaMKIIα and BDNF in females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↑GluA1 in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C57BL6/J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↑time spent in the center in OFT in 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 xml:space="preserve">↓time spent in the center in </w:t>
            </w: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the OFT in females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↔glutamate &amp; aspartate in levels in 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↑5-HIAA/5HT ratio in 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lastRenderedPageBreak/>
              <w:t>N/A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[</w:t>
            </w:r>
            <w:hyperlink r:id="rId11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60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 xml:space="preserve">] 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↑Synapsin I &amp; SNARE levels in males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↓glutamate &amp; aspartate levels in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↔5-HIAA/5HT ratio in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↔ Synapsin I &amp; SNARE levels in females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00E8F">
              <w:rPr>
                <w:rFonts w:ascii="Times New Roman" w:hAnsi="Times New Roman"/>
                <w:b/>
                <w:sz w:val="20"/>
                <w:szCs w:val="20"/>
              </w:rPr>
              <w:t>SD Rats</w:t>
            </w: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5 &amp; 10 mg/kg chronic administration</w:t>
            </w:r>
          </w:p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↑time in males in the drug-paired chamber (10 mg/kg)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N/A</w:t>
            </w: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↑∆fosB expression in both sexes but it was higher in females than in males</w:t>
            </w: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[</w:t>
            </w:r>
            <w:hyperlink r:id="rId12" w:history="1">
              <w:r w:rsidRPr="00100E8F">
                <w:rPr>
                  <w:rStyle w:val="Hyperlink"/>
                  <w:rFonts w:ascii="Times New Roman" w:hAnsi="Times New Roman"/>
                  <w:sz w:val="20"/>
                  <w:szCs w:val="20"/>
                </w:rPr>
                <w:t>63</w:t>
              </w:r>
            </w:hyperlink>
            <w:r w:rsidRPr="00100E8F">
              <w:rPr>
                <w:rFonts w:ascii="Times New Roman" w:hAnsi="Times New Roman"/>
                <w:sz w:val="20"/>
                <w:szCs w:val="20"/>
              </w:rPr>
              <w:t>]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↓time in females in the drug-paired chamber (5 mg/kg)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596740" w:rsidRPr="00100E8F" w:rsidTr="00CC4C12">
        <w:trPr>
          <w:trHeight w:val="300"/>
        </w:trPr>
        <w:tc>
          <w:tcPr>
            <w:tcW w:w="1255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53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100E8F">
              <w:rPr>
                <w:rFonts w:ascii="Times New Roman" w:hAnsi="Times New Roman"/>
                <w:sz w:val="20"/>
                <w:szCs w:val="20"/>
              </w:rPr>
              <w:t>↑in running in locomotor activity in both sexes but the females ran more than the males</w:t>
            </w:r>
          </w:p>
        </w:tc>
        <w:tc>
          <w:tcPr>
            <w:tcW w:w="189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0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2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9" w:type="dxa"/>
            <w:noWrap/>
            <w:hideMark/>
          </w:tcPr>
          <w:p w:rsidR="00596740" w:rsidRPr="00100E8F" w:rsidRDefault="00596740" w:rsidP="00CC4C12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96740" w:rsidRPr="00100E8F" w:rsidRDefault="00596740"/>
    <w:p w:rsidR="00596740" w:rsidRPr="00100E8F" w:rsidRDefault="00596740" w:rsidP="00596740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100E8F">
        <w:rPr>
          <w:rFonts w:ascii="Times New Roman" w:hAnsi="Times New Roman"/>
          <w:sz w:val="20"/>
          <w:szCs w:val="20"/>
        </w:rPr>
        <w:t xml:space="preserve">FST: Forced swim test; NSF: Novelty suppressed feeding; SPT: Sucrose preference test; OFT: Open field test; mPFC: Medial prefrontal cortex; NAcSh: Nucleus accumbens shell; NAcC: Nucleus accumbens core; eEF2: Eukaryotic elongation factor 2; D1: Diestrus 1; Pro: Proestrous; E2: Estradiol; P4: Progesterone; OVX: Ovariectomized; PPT: 4,4’,4’’-(4-Propyl-[1H]-pyrazole-1,3,5-triyl) trisphenol; DPN: Diarylpropionitrile; mTOR: Mechanistic target of rapamycin; CaMKIIα: Calcium calmodulin kinase II alpha; GluA1: Glutamate ionotropic receptor AMPA type subunit 1; MAPK: Mitogen-activated protein kinase; BDNF: Brain derived neurotrophic </w:t>
      </w:r>
      <w:r w:rsidRPr="00100E8F">
        <w:rPr>
          <w:rFonts w:ascii="Times New Roman" w:hAnsi="Times New Roman"/>
          <w:sz w:val="20"/>
          <w:szCs w:val="20"/>
        </w:rPr>
        <w:lastRenderedPageBreak/>
        <w:t>factor; GSK-3: Glycogen synthase kinase 3; 5-HIAA: 5hydroxyindoleacetic acid; 5-HT: 5-hydroxytryptamine; SNARE: Soluble NSF attachment protein receptor; ↑: Increasing; ↓: Decreasing; ↔: Propositional.</w:t>
      </w:r>
    </w:p>
    <w:p w:rsidR="00596740" w:rsidRPr="00100E8F" w:rsidRDefault="00596740"/>
    <w:sectPr w:rsidR="00596740" w:rsidRPr="00100E8F" w:rsidSect="002F6C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compat/>
  <w:rsids>
    <w:rsidRoot w:val="00596740"/>
    <w:rsid w:val="000E2C6D"/>
    <w:rsid w:val="00100E8F"/>
    <w:rsid w:val="002F6C70"/>
    <w:rsid w:val="00596740"/>
    <w:rsid w:val="005D42D2"/>
    <w:rsid w:val="00FC3353"/>
    <w:rsid w:val="00FD4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74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0E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285892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cbi.nlm.nih.gov/pubmed/27686025" TargetMode="External"/><Relationship Id="rId12" Type="http://schemas.openxmlformats.org/officeDocument/2006/relationships/hyperlink" Target="https://www.ncbi.nlm.nih.gov/pubmed/290557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pubmed/25595985" TargetMode="External"/><Relationship Id="rId11" Type="http://schemas.openxmlformats.org/officeDocument/2006/relationships/hyperlink" Target="https://www.ncbi.nlm.nih.gov/pubmed/27343934" TargetMode="External"/><Relationship Id="rId5" Type="http://schemas.openxmlformats.org/officeDocument/2006/relationships/hyperlink" Target="https://www.ncbi.nlm.nih.gov/pubmed/29175352" TargetMode="External"/><Relationship Id="rId10" Type="http://schemas.openxmlformats.org/officeDocument/2006/relationships/hyperlink" Target="https://www.ncbi.nlm.nih.gov/pmc/articles/PMC5520991/" TargetMode="External"/><Relationship Id="rId4" Type="http://schemas.openxmlformats.org/officeDocument/2006/relationships/hyperlink" Target="https://www.ncbi.nlm.nih.gov/pubmed/23337256" TargetMode="External"/><Relationship Id="rId9" Type="http://schemas.openxmlformats.org/officeDocument/2006/relationships/hyperlink" Target="https://www.ncbi.nlm.nih.gov/pubmed/268884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845</Words>
  <Characters>4820</Characters>
  <Application>Microsoft Office Word</Application>
  <DocSecurity>0</DocSecurity>
  <Lines>40</Lines>
  <Paragraphs>11</Paragraphs>
  <ScaleCrop>false</ScaleCrop>
  <Company>HP</Company>
  <LinksUpToDate>false</LinksUpToDate>
  <CharactersWithSpaces>5654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Swathi</dc:creator>
  <cp:lastModifiedBy>Swathi</cp:lastModifiedBy>
  <cp:revision>6</cp:revision>
  <dcterms:created xsi:type="dcterms:W3CDTF">2019-07-25T11:14:00Z</dcterms:created>
  <dcterms:modified xsi:type="dcterms:W3CDTF">2019-08-01T07:04:00Z</dcterms:modified>
</cp:coreProperties>
</file>